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666666"/>
          <w:sz w:val="28"/>
          <w:szCs w:val="28"/>
        </w:rPr>
        <w:t xml:space="preserve">CHAPITRE I.3</w:t>
      </w:r>
    </w:p>
    <w:p>
      <w:pPr>
        <w:pStyle w:val="Heading1"/>
        <w:spacing w:after="400"/>
        <w:jc w:val="center"/>
      </w:pPr>
      <w:r>
        <w:rPr>
          <w:rFonts w:ascii="Arial" w:cs="Arial" w:eastAsia="Arial" w:hAnsi="Arial"/>
          <w:b/>
          <w:bCs/>
          <w:sz w:val="36"/>
          <w:szCs w:val="36"/>
        </w:rPr>
        <w:t xml:space="preserve">Cadres de Référence, Standards et Modèles de Maturité</w:t>
      </w:r>
    </w:p>
    <w:p>
      <w:pPr>
        <w:spacing w:before="200" w:after="400"/>
        <w:ind w:left="2880"/>
        <w:jc w:val="right"/>
      </w:pPr>
      <w:r>
        <w:rPr>
          <w:rFonts w:ascii="Georgia" w:cs="Georgia" w:eastAsia="Georgia" w:hAnsi="Georgia"/>
          <w:i/>
          <w:iCs/>
          <w:sz w:val="22"/>
          <w:szCs w:val="22"/>
        </w:rPr>
        <w:t xml:space="preserve">« Ce qui ne peut être mesuré ne peut être amélioré. »
— Peter Drucker</w:t>
      </w:r>
    </w:p>
    <w:p>
      <w:pPr>
        <w:spacing w:after="200" w:line="276"/>
        <w:jc w:val="both"/>
      </w:pPr>
      <w:r>
        <w:rPr>
          <w:rFonts w:ascii="Georgia" w:cs="Georgia" w:eastAsia="Georgia" w:hAnsi="Georgia"/>
          <w:sz w:val="24"/>
          <w:szCs w:val="24"/>
        </w:rPr>
        <w:t xml:space="preserve">Les chapitres précédents ont établi le diagnostic de la crise de l'intégration et posé les fondements conceptuels de l'interopérabilité. Pour transformer ces concepts en pratique organisationnelle, les architectes d'entreprise ont besoin d'outils méthodologiques : des cadres de référence qui structurent la réflexion, des standards qui garantissent la compatibilité, et des modèles de maturité qui permettent d'évaluer la progression. Ce chapitre présente ces instruments essentiels.</w:t>
      </w:r>
    </w:p>
    <w:p>
      <w:pPr>
        <w:spacing w:after="200" w:line="276"/>
        <w:jc w:val="both"/>
      </w:pPr>
      <w:r>
        <w:rPr>
          <w:rFonts w:ascii="Georgia" w:cs="Georgia" w:eastAsia="Georgia" w:hAnsi="Georgia"/>
          <w:sz w:val="24"/>
          <w:szCs w:val="24"/>
        </w:rPr>
        <w:t xml:space="preserve">Nous examinerons d'abord le rôle crucial des standards ouverts dans la construction d'écosystèmes numériques viables. Nous cartographierons ensuite les principaux cadres d'interopérabilité, du Cadre Européen d'Interopérabilité au Framework for Enterprise Interoperability. Nous analyserons les modèles de maturité qui permettent d'évaluer et de planifier la progression d'une organisation. Enfin, nous présenterons le modèle LCIM qui introduit la notion d'interopérabilité conceptuelle — précurseur de l'interopérabilité cognitive que nous développerons dans la troisième partie de ce volume.</w:t>
      </w:r>
    </w:p>
    <w:p>
      <w:pPr>
        <w:pStyle w:val="Heading2"/>
      </w:pPr>
      <w:r>
        <w:rPr>
          <w:rFonts w:ascii="Arial" w:cs="Arial" w:eastAsia="Arial" w:hAnsi="Arial"/>
          <w:b/>
          <w:bCs/>
        </w:rPr>
        <w:t xml:space="preserve">I.3.1 Le Rôle Crucial des Standards Ouverts dans les Écosystèmes Numériques</w:t>
      </w:r>
    </w:p>
    <w:p>
      <w:pPr>
        <w:spacing w:after="200" w:line="276"/>
        <w:jc w:val="both"/>
      </w:pPr>
      <w:r>
        <w:rPr>
          <w:rFonts w:ascii="Georgia" w:cs="Georgia" w:eastAsia="Georgia" w:hAnsi="Georgia"/>
          <w:sz w:val="24"/>
          <w:szCs w:val="24"/>
        </w:rPr>
        <w:t xml:space="preserve">Les standards ouverts constituent le fondement invisible sur lequel repose l'ensemble de l'économie numérique. Sans le protocole HTTP, le World Wide Web n'existerait pas. Sans le format JSON, les API modernes seraient impossibles. Sans le protocole TCP/IP, Internet lui-même serait un assemblage de réseaux incompatibles. Ces standards, développés de manière collaborative et disponibles sans restriction, permettent à des acteurs indépendants de créer des systèmes interopérables sans coordination préalable.</w:t>
      </w:r>
    </w:p>
    <w:p>
      <w:pPr>
        <w:spacing w:after="200" w:line="276"/>
        <w:jc w:val="both"/>
      </w:pPr>
      <w:r>
        <w:rPr>
          <w:rFonts w:ascii="Georgia" w:cs="Georgia" w:eastAsia="Georgia" w:hAnsi="Georgia"/>
          <w:sz w:val="24"/>
          <w:szCs w:val="24"/>
        </w:rPr>
        <w:t xml:space="preserve">Un standard ouvert se caractérise par plusieurs propriétés essentielles. Son processus de développement est transparent et participatif, permettant à toute partie intéressée de contribuer. Sa spécification est publiquement accessible, sans restriction d'accès ni obligation de licence. Son implémentation est libre, sans brevets bloquants ni redevances prohibitives. Ces caractéristiques distinguent les standards ouverts des standards propriétaires, qui servent souvent les intérêts d'un acteur dominant plutôt que ceux de l'écosystème.</w:t>
      </w:r>
    </w:p>
    <w:p>
      <w:pPr>
        <w:spacing w:after="200" w:line="276"/>
        <w:jc w:val="both"/>
      </w:pPr>
      <w:r>
        <w:rPr>
          <w:rFonts w:ascii="Georgia" w:cs="Georgia" w:eastAsia="Georgia" w:hAnsi="Georgia"/>
          <w:sz w:val="24"/>
          <w:szCs w:val="24"/>
        </w:rPr>
        <w:t xml:space="preserve">Dans le domaine de l'interopérabilité d'entreprise, plusieurs familles de standards ouverts méritent une attention particulière. Les standards de description d'API, comme OpenAPI (anciennement Swagger) pour les API REST et AsyncAPI pour les interfaces asynchrones, permettent de documenter formellement les contrats d'interface. Les standards de données, comme JSON Schema pour la validation et Apache Avro pour la sérialisation, garantissent la compatibilité des formats. Les standards de messagerie, comme AMQP et le protocole Kafka, assurent l'interopérabilité des plateformes événementielles.</w:t>
      </w:r>
    </w:p>
    <w:p>
      <w:pPr>
        <w:spacing w:after="200" w:line="276"/>
        <w:jc w:val="both"/>
      </w:pPr>
      <w:r>
        <w:rPr>
          <w:rFonts w:ascii="Georgia" w:cs="Georgia" w:eastAsia="Georgia" w:hAnsi="Georgia"/>
          <w:sz w:val="24"/>
          <w:szCs w:val="24"/>
        </w:rPr>
        <w:t xml:space="preserve">L'adoption de standards ouverts génère des externalités de réseau positives. Plus un standard est adopté, plus il devient attractif pour les nouveaux entrants, créant un cercle vertueux d'adoption. L'écosystème Apache Kafka illustre ce phénomène : la standardisation du protocole a permis l'émergence d'un riche écosystème de connecteurs, d'outils et de services compatibles, renforçant à son tour l'attractivité de la plateforme. Confluent, en tant que gardien de cet écosystème, a su préserver l'ouverture tout en développant des services à valeur ajoutée.</w:t>
      </w:r>
    </w:p>
    <w:p>
      <w:pPr>
        <w:pStyle w:val="Heading2"/>
      </w:pPr>
      <w:r>
        <w:rPr>
          <w:rFonts w:ascii="Arial" w:cs="Arial" w:eastAsia="Arial" w:hAnsi="Arial"/>
          <w:b/>
          <w:bCs/>
        </w:rPr>
        <w:t xml:space="preserve">I.3.2 Cartographie des Cadres d'Interopérabilité</w:t>
      </w:r>
    </w:p>
    <w:p>
      <w:pPr>
        <w:pStyle w:val="Heading3"/>
      </w:pPr>
      <w:r>
        <w:rPr>
          <w:rFonts w:ascii="Arial" w:cs="Arial" w:eastAsia="Arial" w:hAnsi="Arial"/>
          <w:b/>
          <w:bCs/>
        </w:rPr>
        <w:t xml:space="preserve">I.3.2.1 Le Cadre Européen d'Interopérabilité (EIF)</w:t>
      </w:r>
    </w:p>
    <w:p>
      <w:pPr>
        <w:spacing w:after="200" w:line="276"/>
        <w:jc w:val="both"/>
      </w:pPr>
      <w:r>
        <w:rPr>
          <w:rFonts w:ascii="Georgia" w:cs="Georgia" w:eastAsia="Georgia" w:hAnsi="Georgia"/>
          <w:sz w:val="24"/>
          <w:szCs w:val="24"/>
        </w:rPr>
        <w:t xml:space="preserve">Le Cadre Européen d'Interopérabilité (European Interoperability Framework ou EIF) constitue la référence pour les administrations publiques européennes, mais ses principes s'appliquent également aux entreprises privées. Développé par la Commission européenne, l'EIF structure l'interopérabilité selon quatre couches complémentaires qui reprennent et étendent les dimensions présentées au chapitre précédent.</w:t>
      </w:r>
    </w:p>
    <w:p>
      <w:pPr>
        <w:spacing w:after="200" w:line="276"/>
        <w:jc w:val="both"/>
      </w:pPr>
      <w:r>
        <w:rPr>
          <w:rFonts w:ascii="Georgia" w:cs="Georgia" w:eastAsia="Georgia" w:hAnsi="Georgia"/>
          <w:sz w:val="24"/>
          <w:szCs w:val="24"/>
        </w:rPr>
        <w:t xml:space="preserve">La couche juridique traite de l'alignement des cadres réglementaires entre les différentes juridictions. Elle adresse les questions de validité légale des échanges électroniques, de protection des données personnelles et de reconnaissance mutuelle des procédures. Dans le contexte européen, des instruments comme le règlement eIDAS sur l'identification électronique ou le RGPD sur la protection des données fournissent le socle juridique commun.</w:t>
      </w:r>
    </w:p>
    <w:p>
      <w:pPr>
        <w:spacing w:after="200" w:line="276"/>
        <w:jc w:val="both"/>
      </w:pPr>
      <w:r>
        <w:rPr>
          <w:rFonts w:ascii="Georgia" w:cs="Georgia" w:eastAsia="Georgia" w:hAnsi="Georgia"/>
          <w:sz w:val="24"/>
          <w:szCs w:val="24"/>
        </w:rPr>
        <w:t xml:space="preserve">La couche organisationnelle concerne l'alignement des processus métier et des structures de gouvernance. Elle reconnaît que l'interopérabilité technique ne suffit pas si les organisations impliquées fonctionnent selon des logiques incompatibles. L'EIF recommande de documenter les processus métier de manière standardisée, de clarifier les responsabilités et de mettre en place des accords de niveau de service explicites.</w:t>
      </w:r>
    </w:p>
    <w:p>
      <w:pPr>
        <w:spacing w:after="200" w:line="276"/>
        <w:jc w:val="both"/>
      </w:pPr>
      <w:r>
        <w:rPr>
          <w:rFonts w:ascii="Georgia" w:cs="Georgia" w:eastAsia="Georgia" w:hAnsi="Georgia"/>
          <w:sz w:val="24"/>
          <w:szCs w:val="24"/>
        </w:rPr>
        <w:t xml:space="preserve">La couche sémantique porte sur la signification des données échangées. L'EIF préconise l'utilisation de vocabulaires contrôlés, de taxonomies partagées et de modèles de données communs. Les Core Vocabularies européens — Core Person, Core Business, Core Location — fournissent des définitions harmonisées des concepts fondamentaux. Ces vocabulaires facilitent l'interopérabilité sans imposer une standardisation rigide des systèmes nationaux.</w:t>
      </w:r>
    </w:p>
    <w:p>
      <w:pPr>
        <w:spacing w:after="200" w:line="276"/>
        <w:jc w:val="both"/>
      </w:pPr>
      <w:r>
        <w:rPr>
          <w:rFonts w:ascii="Georgia" w:cs="Georgia" w:eastAsia="Georgia" w:hAnsi="Georgia"/>
          <w:sz w:val="24"/>
          <w:szCs w:val="24"/>
        </w:rPr>
        <w:t xml:space="preserve">La couche technique, enfin, traite des protocoles, des formats et des infrastructures de communication. L'EIF privilégie les standards ouverts et les architectures orientées services. Il recommande l'utilisation de composants réutilisables — les building blocks — comme les services d'identification (eID), de signature électronique (eSignature) ou de traduction automatique (eTranslation) que les administrations peuvent intégrer plutôt que développer individuellement.</w:t>
      </w:r>
    </w:p>
    <w:p>
      <w:pPr>
        <w:pStyle w:val="Heading3"/>
      </w:pPr>
      <w:r>
        <w:rPr>
          <w:rFonts w:ascii="Arial" w:cs="Arial" w:eastAsia="Arial" w:hAnsi="Arial"/>
          <w:b/>
          <w:bCs/>
        </w:rPr>
        <w:t xml:space="preserve">I.3.2.2 Le Framework for Enterprise Interoperability (FEI)</w:t>
      </w:r>
    </w:p>
    <w:p>
      <w:pPr>
        <w:spacing w:after="200" w:line="276"/>
        <w:jc w:val="both"/>
      </w:pPr>
      <w:r>
        <w:rPr>
          <w:rFonts w:ascii="Georgia" w:cs="Georgia" w:eastAsia="Georgia" w:hAnsi="Georgia"/>
          <w:sz w:val="24"/>
          <w:szCs w:val="24"/>
        </w:rPr>
        <w:t xml:space="preserve">Le Framework for Enterprise Interoperability (FEI), issu des travaux de l'INTEROP Network of Excellence européen, propose une approche plus systématique de l'interopérabilité d'entreprise. Il structure le domaine selon trois dimensions orthogonales qui, combinées, forment un espace tridimensionnel de l'interopérabilité.</w:t>
      </w:r>
    </w:p>
    <w:p>
      <w:pPr>
        <w:spacing w:after="200" w:line="276"/>
        <w:jc w:val="both"/>
      </w:pPr>
      <w:r>
        <w:rPr>
          <w:rFonts w:ascii="Georgia" w:cs="Georgia" w:eastAsia="Georgia" w:hAnsi="Georgia"/>
          <w:sz w:val="24"/>
          <w:szCs w:val="24"/>
        </w:rPr>
        <w:t xml:space="preserve">La première dimension distingue les barrières à l'interopérabilité : conceptuelles (liées à la représentation des connaissances), technologiques (liées aux plateformes et protocoles) et organisationnelles (liées aux structures et processus). Cette classification permet d'identifier la nature des obstacles et de mobiliser les compétences appropriées pour les surmonter.</w:t>
      </w:r>
    </w:p>
    <w:p>
      <w:pPr>
        <w:spacing w:after="200" w:line="276"/>
        <w:jc w:val="both"/>
      </w:pPr>
      <w:r>
        <w:rPr>
          <w:rFonts w:ascii="Georgia" w:cs="Georgia" w:eastAsia="Georgia" w:hAnsi="Georgia"/>
          <w:sz w:val="24"/>
          <w:szCs w:val="24"/>
        </w:rPr>
        <w:t xml:space="preserve">La deuxième dimension identifie les préoccupations de l'interopérabilité : données (échange d'informations), services (invocation de fonctionnalités), processus (coordination d'activités) et métier (alignement stratégique). Cette dimension reconnaît que l'interopérabilité ne se limite pas aux données, mais englobe l'ensemble des interactions entre entreprises.</w:t>
      </w:r>
    </w:p>
    <w:p>
      <w:pPr>
        <w:spacing w:after="200" w:line="276"/>
        <w:jc w:val="both"/>
      </w:pPr>
      <w:r>
        <w:rPr>
          <w:rFonts w:ascii="Georgia" w:cs="Georgia" w:eastAsia="Georgia" w:hAnsi="Georgia"/>
          <w:sz w:val="24"/>
          <w:szCs w:val="24"/>
        </w:rPr>
        <w:t xml:space="preserve">La troisième dimension définit les approches de l'interopérabilité : intégrée (système unifié imposé), unifiée (format commun négocié) et fédérée (ajustement dynamique à la volée). L'approche fédérée, la plus ambitieuse, correspond à l'interopérabilité adaptative que nous développerons dans la suite de cet ouvrage. Elle ne présuppose pas de standard préétabli mais développe la capacité de s'ajuster à des partenaires hétérogènes.</w:t>
      </w:r>
    </w:p>
    <w:p>
      <w:pPr>
        <w:spacing w:after="200" w:line="276"/>
        <w:jc w:val="both"/>
      </w:pPr>
      <w:r>
        <w:rPr>
          <w:rFonts w:ascii="Georgia" w:cs="Georgia" w:eastAsia="Georgia" w:hAnsi="Georgia"/>
          <w:sz w:val="24"/>
          <w:szCs w:val="24"/>
        </w:rPr>
        <w:t xml:space="preserve">Le FEI fournit également une méthodologie d'analyse des problèmes d'interopérabilité. Pour chaque situation, l'architecte peut identifier les barrières dominantes, les préoccupations prioritaires et l'approche la plus appropriée. Cette analyse structurée évite les solutions techniques qui ignorent les obstacles organisationnels, ou les réorganisations qui négligent les contraintes techniques.</w:t>
      </w:r>
    </w:p>
    <w:p>
      <w:pPr>
        <w:pStyle w:val="Heading2"/>
      </w:pPr>
      <w:r>
        <w:rPr>
          <w:rFonts w:ascii="Arial" w:cs="Arial" w:eastAsia="Arial" w:hAnsi="Arial"/>
          <w:b/>
          <w:bCs/>
        </w:rPr>
        <w:t xml:space="preserve">I.3.3 Analyse Comparative des Modèles de Maturité</w:t>
      </w:r>
    </w:p>
    <w:p>
      <w:pPr>
        <w:spacing w:after="200" w:line="276"/>
        <w:jc w:val="both"/>
      </w:pPr>
      <w:r>
        <w:rPr>
          <w:rFonts w:ascii="Georgia" w:cs="Georgia" w:eastAsia="Georgia" w:hAnsi="Georgia"/>
          <w:sz w:val="24"/>
          <w:szCs w:val="24"/>
        </w:rPr>
        <w:t xml:space="preserve">Les modèles de maturité permettent d'évaluer l'état actuel d'une organisation et de planifier sa progression vers des niveaux supérieurs d'interopérabilité. Plusieurs modèles ont été développés, chacun avec ses forces et ses limites. Nous en examinons ici les principaux.</w:t>
      </w:r>
    </w:p>
    <w:p>
      <w:pPr>
        <w:spacing w:after="200" w:line="276"/>
        <w:jc w:val="both"/>
      </w:pPr>
      <w:r>
        <w:rPr>
          <w:rFonts w:ascii="Georgia" w:cs="Georgia" w:eastAsia="Georgia" w:hAnsi="Georgia"/>
          <w:sz w:val="24"/>
          <w:szCs w:val="24"/>
        </w:rPr>
        <w:t xml:space="preserve">Le modèle LISI (Levels of Information Systems Interoperability), développé par le département de la Défense américain, constitue l'un des premiers modèles de maturité de l'interopérabilité. Il définit cinq niveaux, depuis l'isolation (niveau 0) où les systèmes ne communiquent pas, jusqu'à l'interopérabilité entreprise (niveau 4) où les systèmes partagent une compréhension commune du domaine et peuvent adapter dynamiquement leurs interactions. Entre ces extrêmes, les niveaux de connexion, de communication fonctionnelle et de partage de domaine marquent une progression graduelle.</w:t>
      </w:r>
    </w:p>
    <w:p>
      <w:pPr>
        <w:spacing w:after="200" w:line="276"/>
        <w:jc w:val="both"/>
      </w:pPr>
      <w:r>
        <w:rPr>
          <w:rFonts w:ascii="Georgia" w:cs="Georgia" w:eastAsia="Georgia" w:hAnsi="Georgia"/>
          <w:sz w:val="24"/>
          <w:szCs w:val="24"/>
        </w:rPr>
        <w:t xml:space="preserve">Le modèle OIM (Organizational Interoperability Maturity), complément du LISI, évalue spécifiquement la dimension organisationnelle. Il reconnaît que deux organisations peuvent disposer de systèmes techniquement interopérables tout en restant incapables de collaborer effectivement du fait de barrières organisationnelles. Les cinq niveaux de l'OIM — indépendant, ad hoc, collaboratif, intégré et unifié — caractérisent la maturité des relations inter-organisationnelles.</w:t>
      </w:r>
    </w:p>
    <w:p>
      <w:pPr>
        <w:spacing w:before="300" w:after="200"/>
      </w:pPr>
      <w:r>
        <w:rPr>
          <w:rFonts w:ascii="Arial" w:cs="Arial" w:eastAsia="Arial" w:hAnsi="Arial"/>
          <w:b/>
          <w:bCs/>
          <w:i/>
          <w:iCs/>
          <w:sz w:val="22"/>
          <w:szCs w:val="22"/>
        </w:rPr>
        <w:t xml:space="preserve">Tableau I.3.1 — Comparaison des Modèles de Maturité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000"/>
        <w:gridCol w:w="2000"/>
        <w:gridCol w:w="1760"/>
      </w:tblGrid>
      <w:tr>
        <w:tc>
          <w:tcPr>
            <w:tcW w:type="dxa" w:w="18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0"/>
                <w:szCs w:val="20"/>
              </w:rPr>
              <w:t xml:space="preserve">Modèle</w:t>
            </w:r>
          </w:p>
        </w:tc>
        <w:tc>
          <w:tcPr>
            <w:tcW w:type="dxa" w:w="18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0"/>
                <w:szCs w:val="20"/>
              </w:rPr>
              <w:t xml:space="preserve">Origine</w:t>
            </w:r>
          </w:p>
        </w:tc>
        <w:tc>
          <w:tcPr>
            <w:tcW w:type="dxa" w:w="20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0"/>
                <w:szCs w:val="20"/>
              </w:rPr>
              <w:t xml:space="preserve">Focus</w:t>
            </w:r>
          </w:p>
        </w:tc>
        <w:tc>
          <w:tcPr>
            <w:tcW w:type="dxa" w:w="200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0"/>
                <w:szCs w:val="20"/>
              </w:rPr>
              <w:t xml:space="preserve">Niveaux</w:t>
            </w:r>
          </w:p>
        </w:tc>
        <w:tc>
          <w:tcPr>
            <w:tcW w:type="dxa" w:w="1760"/>
            <w:tcBorders>
              <w:top w:val="single" w:color="CCCCCC" w:sz="1"/>
              <w:left w:val="single" w:color="CCCCCC" w:sz="1"/>
              <w:bottom w:val="single" w:color="CCCCCC" w:sz="1"/>
              <w:right w:val="single" w:color="CCCCCC" w:sz="1"/>
            </w:tcBorders>
            <w:shd w:fill="E8E8E8" w:val="clear"/>
            <w:tcMar>
              <w:top w:type="dxa" w:w="80"/>
              <w:left w:type="dxa" w:w="120"/>
              <w:bottom w:type="dxa" w:w="80"/>
              <w:right w:type="dxa" w:w="120"/>
            </w:tcMar>
          </w:tcPr>
          <w:p>
            <w:r>
              <w:rPr>
                <w:rFonts w:ascii="Arial" w:cs="Arial" w:eastAsia="Arial" w:hAnsi="Arial"/>
                <w:b/>
                <w:bCs/>
                <w:sz w:val="20"/>
                <w:szCs w:val="20"/>
              </w:rPr>
              <w:t xml:space="preserve">Usage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LISI</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DoD (USA)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Technique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0-4 (5 niveaux)</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Défense, SI</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DoD (USA)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Organisationnel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0-4 (5 niveaux)</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Collaboration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LCIM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M&amp;S (Académique)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Conceptuel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0-6 (7 niveaux)</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Simulation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EIF-MM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Commission 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Multidimensionnel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1-5 (5 niveaux)</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Secteur public</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ACMM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Athena (UE)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Entreprise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0-4 (5 niveaux)</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Manufacturing</w:t>
            </w:r>
          </w:p>
        </w:tc>
      </w:tr>
    </w:tbl>
    <w:p>
      <w:pPr>
        <w:spacing w:before="200"/>
      </w:pPr>
    </w:p>
    <w:p>
      <w:pPr>
        <w:spacing w:after="200" w:line="276"/>
        <w:jc w:val="both"/>
      </w:pPr>
      <w:r>
        <w:rPr>
          <w:rFonts w:ascii="Georgia" w:cs="Georgia" w:eastAsia="Georgia" w:hAnsi="Georgia"/>
          <w:sz w:val="24"/>
          <w:szCs w:val="24"/>
        </w:rPr>
        <w:t xml:space="preserve">L'Interoperability Maturity Model de l'EIF (EIF-MM) adapte ces concepts au contexte des administrations publiques européennes. Il évalue la maturité selon les quatre couches de l'EIF — juridique, organisationnelle, sémantique et technique — et propose des critères d'évaluation spécifiques à chaque couche. Ce modèle a l'avantage d'être aligné avec le cadre de référence le plus répandu en Europe.</w:t>
      </w:r>
    </w:p>
    <w:p>
      <w:pPr>
        <w:spacing w:after="200" w:line="276"/>
        <w:jc w:val="both"/>
      </w:pPr>
      <w:r>
        <w:rPr>
          <w:rFonts w:ascii="Georgia" w:cs="Georgia" w:eastAsia="Georgia" w:hAnsi="Georgia"/>
          <w:sz w:val="24"/>
          <w:szCs w:val="24"/>
        </w:rPr>
        <w:t xml:space="preserve">Le modèle ACMM (Athena Collaborative Maturity Model), développé dans le cadre du projet européen Athena, cible spécifiquement l'interopérabilité collaborative dans le secteur manufacturier. Il évalue la capacité des entreprises à collaborer au sein de réseaux de valeur étendus, en tenant compte des spécificités de la production industrielle : échanges de données CAO, gestion de configuration produit, traçabilité de la chaîne d'approvisionnement.</w:t>
      </w:r>
    </w:p>
    <w:p>
      <w:pPr>
        <w:spacing w:after="200" w:line="276"/>
        <w:jc w:val="both"/>
      </w:pPr>
      <w:r>
        <w:rPr>
          <w:rFonts w:ascii="Georgia" w:cs="Georgia" w:eastAsia="Georgia" w:hAnsi="Georgia"/>
          <w:sz w:val="24"/>
          <w:szCs w:val="24"/>
        </w:rPr>
        <w:t xml:space="preserve">L'utilisation de ces modèles de maturité exige quelques précautions. Ils ne doivent pas être interprétés comme des progressions linéaires obligatoires — une organisation peut choisir de cibler un niveau spécifique selon ses besoins stratégiques. Les évaluations doivent être contextualisées : un niveau 3 dans un contexte simple peut représenter une réalisation plus significative qu'un niveau 4 dans un contexte homogène. Enfin, la maturité globale n'est pas la moyenne des maturités par dimension : une faiblesse critique dans une dimension peut bloquer l'ensemble.</w:t>
      </w:r>
    </w:p>
    <w:p>
      <w:pPr>
        <w:pStyle w:val="Heading2"/>
      </w:pPr>
      <w:r>
        <w:rPr>
          <w:rFonts w:ascii="Arial" w:cs="Arial" w:eastAsia="Arial" w:hAnsi="Arial"/>
          <w:b/>
          <w:bCs/>
        </w:rPr>
        <w:t xml:space="preserve">I.3.4 Le Modèle LCIM (Levels of Conceptual Interoperability Model)</w:t>
      </w:r>
    </w:p>
    <w:p>
      <w:pPr>
        <w:spacing w:after="200" w:line="276"/>
        <w:jc w:val="both"/>
      </w:pPr>
      <w:r>
        <w:rPr>
          <w:rFonts w:ascii="Georgia" w:cs="Georgia" w:eastAsia="Georgia" w:hAnsi="Georgia"/>
          <w:sz w:val="24"/>
          <w:szCs w:val="24"/>
        </w:rPr>
        <w:t xml:space="preserve">Le modèle LCIM (Levels of Conceptual Interoperability Model), développé par Andreas Tolk et ses collaborateurs dans le contexte de la modélisation et simulation militaire, mérite une attention particulière car il introduit la notion d'interopérabilité conceptuelle — précurseur de l'interopérabilité cognitive que nous développerons dans ce volume.</w:t>
      </w:r>
    </w:p>
    <w:p>
      <w:pPr>
        <w:spacing w:after="200" w:line="276"/>
        <w:jc w:val="both"/>
      </w:pPr>
      <w:r>
        <w:rPr>
          <w:rFonts w:ascii="Georgia" w:cs="Georgia" w:eastAsia="Georgia" w:hAnsi="Georgia"/>
          <w:sz w:val="24"/>
          <w:szCs w:val="24"/>
        </w:rPr>
        <w:t xml:space="preserve">Le LCIM distingue sept niveaux d'interopérabilité, allant du niveau 0 (pas d'interopérabilité) au niveau 6 (interopérabilité conceptuelle complète). Les trois premiers niveaux correspondent à l'interopérabilité technique : échange de bits (niveau 1), interprétation syntaxique (niveau 2) et compréhension sémantique (niveau 3). Ces niveaux sont couverts par les standards et technologies actuels.</w:t>
      </w:r>
    </w:p>
    <w:p>
      <w:pPr>
        <w:spacing w:after="200" w:line="276"/>
        <w:jc w:val="both"/>
      </w:pPr>
      <w:r>
        <w:rPr>
          <w:rFonts w:ascii="Georgia" w:cs="Georgia" w:eastAsia="Georgia" w:hAnsi="Georgia"/>
          <w:sz w:val="24"/>
          <w:szCs w:val="24"/>
        </w:rPr>
        <w:t xml:space="preserve">Les niveaux supérieurs introduisent des exigences plus ambitieuses. Le niveau 4, l'interopérabilité pragmatique, requiert que les systèmes comprennent le contexte d'utilisation des données — non seulement ce que signifie une donnée, mais pourquoi elle est échangée et comment elle sera utilisée. Le niveau 5, l'interopérabilité dynamique, exige que les systèmes puissent adapter leurs structures internes en réponse aux changements de leurs partenaires.</w:t>
      </w:r>
    </w:p>
    <w:p>
      <w:pPr>
        <w:spacing w:after="200" w:line="276"/>
        <w:jc w:val="both"/>
      </w:pPr>
      <w:r>
        <w:rPr>
          <w:rFonts w:ascii="Georgia" w:cs="Georgia" w:eastAsia="Georgia" w:hAnsi="Georgia"/>
          <w:sz w:val="24"/>
          <w:szCs w:val="24"/>
        </w:rPr>
        <w:t xml:space="preserve">Le niveau 6, l'interopérabilité conceptuelle, représente le graal du modèle. À ce niveau, les systèmes partagent une compréhension commune des concepts du domaine et de leurs relations, permettant une interopérabilité sans configuration préalable. Deux systèmes conceptuellement interopérables peuvent collaborer sur la base de leur compréhension partagée, même s'ils n'ont jamais été conçus pour travailler ensemble.</w:t>
      </w:r>
    </w:p>
    <w:p>
      <w:pPr>
        <w:spacing w:after="200" w:line="276"/>
        <w:jc w:val="both"/>
      </w:pPr>
      <w:r>
        <w:rPr>
          <w:rFonts w:ascii="Georgia" w:cs="Georgia" w:eastAsia="Georgia" w:hAnsi="Georgia"/>
          <w:sz w:val="24"/>
          <w:szCs w:val="24"/>
        </w:rPr>
        <w:t xml:space="preserve">Cette vision de l'interopérabilité conceptuelle semblait utopique lors de sa formulation. Comment des systèmes pourraient-ils développer une compréhension commune sans qu'elle soit explicitement programmée ? L'émergence des grands modèles de langage change la donne. Ces modèles, entraînés sur des corpus massifs de textes, ont développé des représentations sémantiques riches qui leur permettent de comprendre le contexte et d'inférer les intentions. Appliquée à l'interopérabilité, cette capacité ouvre la voie à une véritable interopérabilité cognitive, capable de transcender les barrières sémantiques sans modélisation formelle préalable.</w:t>
      </w:r>
    </w:p>
    <w:p>
      <w:pPr>
        <w:pStyle w:val="Heading2"/>
      </w:pPr>
      <w:r>
        <w:rPr>
          <w:rFonts w:ascii="Arial" w:cs="Arial" w:eastAsia="Arial" w:hAnsi="Arial"/>
          <w:b/>
          <w:bCs/>
        </w:rPr>
        <w:t xml:space="preserve">I.3.5 Conclusion : Structurer la Démarche d'Interopérabilité</w:t>
      </w:r>
    </w:p>
    <w:p>
      <w:pPr>
        <w:spacing w:after="200" w:line="276"/>
        <w:jc w:val="both"/>
      </w:pPr>
      <w:r>
        <w:rPr>
          <w:rFonts w:ascii="Georgia" w:cs="Georgia" w:eastAsia="Georgia" w:hAnsi="Georgia"/>
          <w:sz w:val="24"/>
          <w:szCs w:val="24"/>
        </w:rPr>
        <w:t xml:space="preserve">Les cadres de référence et modèles de maturité présentés dans ce chapitre fournissent les outils méthodologiques nécessaires pour structurer une démarche d'interopérabilité. Le Cadre Européen d'Interopérabilité offre une vision multidimensionnelle applicable tant au secteur public qu'au secteur privé. Le Framework for Enterprise Interoperability propose une analyse systématique des barrières, préoccupations et approches. Les modèles de maturité permettent d'évaluer l'état actuel et de planifier la progression.</w:t>
      </w:r>
    </w:p>
    <w:p>
      <w:pPr>
        <w:spacing w:after="200" w:line="276"/>
        <w:jc w:val="both"/>
      </w:pPr>
      <w:r>
        <w:rPr>
          <w:rFonts w:ascii="Georgia" w:cs="Georgia" w:eastAsia="Georgia" w:hAnsi="Georgia"/>
          <w:sz w:val="24"/>
          <w:szCs w:val="24"/>
        </w:rPr>
        <w:t xml:space="preserve">Cependant, ces cadres traditionnels atteignent leurs limites face aux défis contemporains. Ils présupposent une stabilité des modèles de données et des processus métier que la réalité dément constamment. Ils reposent sur des formalisations explicites — ontologies, schémas, contrats — dont la création et la maintenance deviennent des fardeaux organisationnels. Ils peinent à adresser l'interopérabilité avec des systèmes non prévus, des partenaires inconnus, des contextes émergents.</w:t>
      </w:r>
    </w:p>
    <w:p>
      <w:pPr>
        <w:spacing w:after="200" w:line="276"/>
        <w:jc w:val="both"/>
      </w:pPr>
      <w:r>
        <w:rPr>
          <w:rFonts w:ascii="Georgia" w:cs="Georgia" w:eastAsia="Georgia" w:hAnsi="Georgia"/>
          <w:sz w:val="24"/>
          <w:szCs w:val="24"/>
        </w:rPr>
        <w:t xml:space="preserve">Le modèle LCIM, avec ses niveaux supérieurs d'interopérabilité pragmatique, dynamique et conceptuelle, pointait vers ces limites sans disposer des moyens technologiques pour les dépasser. L'intelligence artificielle, et particulièrement les grands modèles de langage, offre désormais ces moyens. La troisième partie de ce volume développera le concept d'interopérabilité cognitive qui permet de transcender les barrières sémantiques traditionnelles grâce à la compréhension contextuelle et l'adaptation dynamique.</w:t>
      </w:r>
    </w:p>
    <w:p>
      <w:pPr>
        <w:spacing w:after="200" w:line="276"/>
        <w:jc w:val="both"/>
      </w:pPr>
      <w:r>
        <w:rPr>
          <w:rFonts w:ascii="Georgia" w:cs="Georgia" w:eastAsia="Georgia" w:hAnsi="Georgia"/>
          <w:sz w:val="24"/>
          <w:szCs w:val="24"/>
        </w:rPr>
        <w:t xml:space="preserve">Ce chapitre clôt la première partie de notre volume, consacrée au diagnostic de la crise de l'intégration. Nous avons établi que cette crise est systémique, affectant les dimensions techniques, organisationnelles et humaines. Nous avons posé les fondements de l'interopérabilité comme alternative à l'intégration traditionnelle. Et nous avons présenté les cadres méthodologiques qui structurent cette discipline. La deuxième partie présentera l'architecture réactive qui constitue le socle technique de l'entreprise agentique.</w:t>
      </w:r>
    </w:p>
    <w:p>
      <w:pPr>
        <w:pStyle w:val="Heading2"/>
      </w:pPr>
      <w:r>
        <w:rPr>
          <w:rFonts w:ascii="Arial" w:cs="Arial" w:eastAsia="Arial" w:hAnsi="Arial"/>
          <w:b/>
          <w:bCs/>
        </w:rPr>
        <w:t xml:space="preserve">I.3.6 Résumé</w:t>
      </w:r>
    </w:p>
    <w:p>
      <w:pPr>
        <w:spacing w:after="200" w:line="276"/>
        <w:jc w:val="both"/>
      </w:pPr>
      <w:r>
        <w:rPr>
          <w:rFonts w:ascii="Georgia" w:cs="Georgia" w:eastAsia="Georgia" w:hAnsi="Georgia"/>
          <w:sz w:val="24"/>
          <w:szCs w:val="24"/>
        </w:rPr>
        <w:t xml:space="preserve">Les standards ouverts constituent le fondement des écosystèmes numériques interopérables. Leur adoption génère des externalités de réseau positives et permet à des acteurs indépendants de créer des systèmes compatibles sans coordination préalable. Dans le domaine de l'interopérabilité d'entreprise, des standards comme OpenAPI, AsyncAPI et le protocole Kafka jouent ce rôle fondateur.</w:t>
      </w:r>
    </w:p>
    <w:p>
      <w:pPr>
        <w:spacing w:after="200" w:line="276"/>
        <w:jc w:val="both"/>
      </w:pPr>
      <w:r>
        <w:rPr>
          <w:rFonts w:ascii="Georgia" w:cs="Georgia" w:eastAsia="Georgia" w:hAnsi="Georgia"/>
          <w:sz w:val="24"/>
          <w:szCs w:val="24"/>
        </w:rPr>
        <w:t xml:space="preserve">Les cadres d'interopérabilité structurent la réflexion selon plusieurs dimensions. Le Cadre Européen d'Interopérabilité distingue les couches juridique, organisationnelle, sémantique et technique. Le Framework for Enterprise Interoperability croise les barrières, les préoccupations et les approches dans un espace tridimensionnel d'analyse. Ces cadres fournissent le vocabulaire et les concepts nécessaires à une démarche structurée.</w:t>
      </w:r>
    </w:p>
    <w:p>
      <w:pPr>
        <w:spacing w:after="200" w:line="276"/>
        <w:jc w:val="both"/>
      </w:pPr>
      <w:r>
        <w:rPr>
          <w:rFonts w:ascii="Georgia" w:cs="Georgia" w:eastAsia="Georgia" w:hAnsi="Georgia"/>
          <w:sz w:val="24"/>
          <w:szCs w:val="24"/>
        </w:rPr>
        <w:t xml:space="preserve">Les modèles de maturité — LISI, OIM, LCIM, EIF-MM — permettent d'évaluer l'état actuel et de planifier la progression. Le modèle LCIM est particulièrement significatif car il introduit les niveaux supérieurs d'interopérabilité pragmatique, dynamique et conceptuelle qui préfigurent l'interopérabilité cognitive. Cette vision ambitieuse, longtemps hors de portée, devient accessible grâce aux avancées de l'intelligence artificielle.</w:t>
      </w:r>
    </w:p>
    <w:p>
      <w:r>
        <w:br w:type="page"/>
      </w:r>
    </w:p>
    <w:p>
      <w:pPr>
        <w:spacing w:before="400" w:after="300"/>
        <w:jc w:val="center"/>
      </w:pPr>
      <w:r>
        <w:rPr>
          <w:rFonts w:ascii="Arial" w:cs="Arial" w:eastAsia="Arial" w:hAnsi="Arial"/>
          <w:b/>
          <w:bCs/>
          <w:color w:val="444444"/>
          <w:sz w:val="32"/>
          <w:szCs w:val="32"/>
        </w:rPr>
        <w:t xml:space="preserve">FIN DE LA PARTIE 1</w:t>
      </w:r>
    </w:p>
    <w:p>
      <w:pPr>
        <w:spacing w:after="400"/>
        <w:jc w:val="center"/>
      </w:pPr>
      <w:r>
        <w:rPr>
          <w:rFonts w:ascii="Georgia" w:cs="Georgia" w:eastAsia="Georgia" w:hAnsi="Georgia"/>
          <w:sz w:val="28"/>
          <w:szCs w:val="28"/>
        </w:rPr>
        <w:t xml:space="preserve">◆ ◆ ◆</w:t>
      </w:r>
    </w:p>
    <w:p>
      <w:pPr>
        <w:spacing w:after="200" w:line="276"/>
        <w:jc w:val="both"/>
      </w:pPr>
      <w:r>
        <w:rPr>
          <w:rFonts w:ascii="Georgia" w:cs="Georgia" w:eastAsia="Georgia" w:hAnsi="Georgia"/>
          <w:b w:val="false"/>
          <w:bCs w:val="false"/>
          <w:i/>
          <w:iCs/>
          <w:sz w:val="24"/>
          <w:szCs w:val="24"/>
        </w:rPr>
        <w:t xml:space="preserve">La première partie de ce volume a dressé le diagnostic complet de la crise de l'intégration. Nous avons retracé l'archéologie d'un domaine en quête permanente de solution définitive, exploré la fragmentation contemporaine des systèmes d'information, et identifié la dette cognitive comme risque stratégique majeur. Nous avons établi les fondements de l'interopérabilité comme paradigme alternatif et présenté les cadres méthodologiques qui structurent cette discipline.</w:t>
      </w:r>
    </w:p>
    <w:p>
      <w:pPr>
        <w:spacing w:after="200"/>
      </w:pPr>
    </w:p>
    <w:p>
      <w:pPr>
        <w:spacing w:after="200" w:line="276"/>
        <w:jc w:val="both"/>
      </w:pPr>
      <w:r>
        <w:rPr>
          <w:rFonts w:ascii="Georgia" w:cs="Georgia" w:eastAsia="Georgia" w:hAnsi="Georgia"/>
          <w:b w:val="false"/>
          <w:bCs w:val="false"/>
          <w:i/>
          <w:iCs/>
          <w:sz w:val="24"/>
          <w:szCs w:val="24"/>
        </w:rPr>
        <w:t xml:space="preserve">La deuxième partie, </w:t>
      </w:r>
      <w:r>
        <w:rPr>
          <w:rFonts w:ascii="Georgia" w:cs="Georgia" w:eastAsia="Georgia" w:hAnsi="Georgia"/>
          <w:b/>
          <w:bCs/>
          <w:i/>
          <w:iCs/>
          <w:sz w:val="24"/>
          <w:szCs w:val="24"/>
        </w:rPr>
        <w:t xml:space="preserve">Architecture Réactive et Écosystème</w:t>
      </w:r>
      <w:r>
        <w:rPr>
          <w:rFonts w:ascii="Georgia" w:cs="Georgia" w:eastAsia="Georgia" w:hAnsi="Georgia"/>
          <w:b w:val="false"/>
          <w:bCs w:val="false"/>
          <w:i/>
          <w:iCs/>
          <w:sz w:val="24"/>
          <w:szCs w:val="24"/>
        </w:rPr>
        <w:t xml:space="preserve">, développe la solution architecturale. Nous y présenterons les principes de l'architecture réactive qui constituent le système nerveux numérique de l'entreprise moderne. L'écosystème API, l'architecture orientée événements avec Apache Kafka et Confluent, les contrats de données et l'observabilité formeront les piliers de cette infrastructure. Des études de cas issues des géants du numérique illustreront ces principes en action.</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Page </w:t>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20"/>
        <w:szCs w:val="20"/>
      </w:rPr>
      <w:t xml:space="preserve">Partie 1 : La Crise de l'Intégration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1a1a"/>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a2a2a"/>
      <w:sz w:val="30"/>
      <w:szCs w:val="30"/>
    </w:rPr>
  </w:style>
  <w:style w:type="paragraph" w:styleId="Heading3">
    <w:name w:val="Heading 3"/>
    <w:basedOn w:val="Normal"/>
    <w:next w:val="Normal"/>
    <w:qFormat/>
    <w:pPr>
      <w:spacing w:before="280" w:after="140"/>
      <w:outlineLvl w:val="2"/>
    </w:pPr>
    <w:rPr>
      <w:rFonts w:ascii="Arial" w:cs="Arial" w:eastAsia="Arial" w:hAnsi="Arial"/>
      <w:b/>
      <w:bCs/>
      <w:color w:val="3a3a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2026-01-11T01:45:27.438Z</dcterms:created>
  <dcterms:modified xsi:type="dcterms:W3CDTF">2026-01-11T01:45:27.438Z</dcterms:modified>
</cp:coreProperties>
</file>

<file path=docProps/custom.xml><?xml version="1.0" encoding="utf-8"?>
<Properties xmlns="http://schemas.openxmlformats.org/officeDocument/2006/custom-properties" xmlns:vt="http://schemas.openxmlformats.org/officeDocument/2006/docPropsVTypes"/>
</file>