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A834" w14:textId="0CF9388A" w:rsidR="00250D74" w:rsidRPr="00F138FA" w:rsidRDefault="00250D74" w:rsidP="00D53A22">
      <w:pPr>
        <w:pStyle w:val="Titre1"/>
        <w:jc w:val="center"/>
        <w:rPr>
          <w:rFonts w:ascii="Arial" w:hAnsi="Arial" w:cs="Arial"/>
          <w:b/>
          <w:color w:val="0F4761"/>
        </w:rPr>
      </w:pPr>
      <w:r w:rsidRPr="00F138FA">
        <w:rPr>
          <w:rFonts w:ascii="Arial" w:hAnsi="Arial" w:cs="Arial"/>
          <w:b/>
          <w:color w:val="0F4761"/>
        </w:rPr>
        <w:t>Puritains : Tout pour la gloire de Dieu</w:t>
      </w:r>
    </w:p>
    <w:p w14:paraId="6962C501" w14:textId="77777777" w:rsidR="00250D74" w:rsidRPr="00585842" w:rsidRDefault="00250D74" w:rsidP="00250D74">
      <w:pPr>
        <w:jc w:val="center"/>
        <w:rPr>
          <w:i/>
          <w:color w:val="595959"/>
          <w:sz w:val="18"/>
        </w:rPr>
      </w:pPr>
      <w:hyperlink r:id="rId8" w:history="1">
        <w:r w:rsidRPr="00585842">
          <w:rPr>
            <w:rStyle w:val="Lienhypertexte"/>
            <w:i/>
            <w:color w:val="595959"/>
            <w:sz w:val="18"/>
          </w:rPr>
          <w:t>https://www.youtube.com/watch?v=3VeYO6hmKGs&amp;t=2177s</w:t>
        </w:r>
      </w:hyperlink>
    </w:p>
    <w:p w14:paraId="0D2CA9B5" w14:textId="77777777" w:rsidR="00250D74" w:rsidRPr="00250D74" w:rsidRDefault="00250D74" w:rsidP="00250D74">
      <w:pPr>
        <w:jc w:val="both"/>
      </w:pPr>
      <w:bookmarkStart w:id="0" w:name="_72kem96kzy70" w:colFirst="0" w:colLast="0"/>
      <w:bookmarkEnd w:id="0"/>
      <w:r w:rsidRPr="00250D74">
        <w:t>Cette synthèse examine le mouvement puritain, de ses racines dans la Réforme anglaise jusqu'à son héritage contemporain. Loin du stéréotype de fanatiques austères et joyeux, les puritains se révèlent être des individus profondément ancrés dans une théologie rigoureuse, animés par un désir de « purifier » l'Église et de vivre chaque aspect de l'existence pour la seule gloire de Dieu. Leurs contributions majeures incluent le développement d'une piété centrée sur les Écritures, une insistance sur la conversion personnelle, la fondation d'institutions académiques de renom (comme Harvard et Yale) et une littérature spirituelle qui continue d'influencer la pensée chrétienne moderne. Malgré des failles historiques notables, notamment en ce qui concerne l'esclavage, leur modèle de « divinité pratique » offre une critique incisive de la superficialité religieuse.</w:t>
      </w:r>
    </w:p>
    <w:p w14:paraId="05773F47" w14:textId="77777777" w:rsidR="00250D74" w:rsidRPr="00F138FA" w:rsidRDefault="00250D74" w:rsidP="00F138FA">
      <w:pPr>
        <w:pStyle w:val="Titre2"/>
        <w:rPr>
          <w:rFonts w:ascii="Arial" w:hAnsi="Arial" w:cs="Arial"/>
          <w:b/>
          <w:color w:val="0F4761"/>
        </w:rPr>
      </w:pPr>
      <w:bookmarkStart w:id="1" w:name="_evze4k5a5acl" w:colFirst="0" w:colLast="0"/>
      <w:bookmarkEnd w:id="1"/>
      <w:r w:rsidRPr="00F138FA">
        <w:rPr>
          <w:rFonts w:ascii="Arial" w:hAnsi="Arial" w:cs="Arial"/>
          <w:b/>
          <w:color w:val="0F4761"/>
        </w:rPr>
        <w:t>1. Origines et Contexte Historique</w:t>
      </w:r>
    </w:p>
    <w:p w14:paraId="4AC334F3" w14:textId="77777777" w:rsidR="00250D74" w:rsidRPr="00250D74" w:rsidRDefault="00250D74" w:rsidP="00250D74">
      <w:pPr>
        <w:jc w:val="both"/>
      </w:pPr>
      <w:r w:rsidRPr="00250D74">
        <w:t>Le puritanisme n'a pas de date de naissance précise, mais le terme est apparu dans les années 1560 comme une insulte visant ceux qui souhaitaient une réforme plus radicale de l'Église d'Angleterre.</w:t>
      </w:r>
      <w:bookmarkStart w:id="2" w:name="_cajkpxbj9xr1" w:colFirst="0" w:colLast="0"/>
      <w:bookmarkEnd w:id="2"/>
      <w:r w:rsidRPr="00250D74">
        <w:t xml:space="preserve"> Le fondement de la Réforme anglaise</w:t>
      </w:r>
    </w:p>
    <w:p w14:paraId="3DD323EC" w14:textId="77777777" w:rsidR="00250D74" w:rsidRPr="00250D74" w:rsidRDefault="00250D74" w:rsidP="00250D74">
      <w:pPr>
        <w:numPr>
          <w:ilvl w:val="0"/>
          <w:numId w:val="5"/>
        </w:numPr>
        <w:jc w:val="both"/>
      </w:pPr>
      <w:r w:rsidRPr="00250D74">
        <w:rPr>
          <w:b/>
          <w:bCs/>
        </w:rPr>
        <w:t>Les précurseurs :</w:t>
      </w:r>
      <w:r w:rsidRPr="00250D74">
        <w:t xml:space="preserve">  John Wycliffe (14e siècle) a ouvert la voie en traduisant la Bible en anglais, affirmant que la Parole de Dieu devait être accessible à tous. William Tyndale a poursuivi cette mission en traduisant le Nouveau Testament à partir du grec et de l'hébreu originaux, payant de sa vie sa détermination.</w:t>
      </w:r>
    </w:p>
    <w:p w14:paraId="6815DFCF" w14:textId="77777777" w:rsidR="00250D74" w:rsidRPr="00250D74" w:rsidRDefault="00250D74" w:rsidP="00250D74">
      <w:pPr>
        <w:numPr>
          <w:ilvl w:val="0"/>
          <w:numId w:val="5"/>
        </w:numPr>
        <w:jc w:val="both"/>
      </w:pPr>
      <w:r w:rsidRPr="00250D74">
        <w:rPr>
          <w:b/>
          <w:bCs/>
        </w:rPr>
        <w:t>La rupture avec Rome :</w:t>
      </w:r>
      <w:r w:rsidRPr="00250D74">
        <w:t xml:space="preserve">  Sous Henri VIII, l'Église d'Angleterre se sépare du Pape, mais conserve des structures catholiques. C'est sous le règne de son fils, Édouard VI, que le protestantisme s'établit réellement.</w:t>
      </w:r>
    </w:p>
    <w:p w14:paraId="2A38088E" w14:textId="77777777" w:rsidR="00250D74" w:rsidRPr="00250D74" w:rsidRDefault="00250D74" w:rsidP="00250D74">
      <w:pPr>
        <w:numPr>
          <w:ilvl w:val="0"/>
          <w:numId w:val="5"/>
        </w:numPr>
        <w:jc w:val="both"/>
      </w:pPr>
      <w:r w:rsidRPr="00250D74">
        <w:rPr>
          <w:b/>
          <w:bCs/>
        </w:rPr>
        <w:t>La persécution sous « Bloody Mary » :</w:t>
      </w:r>
      <w:r w:rsidRPr="00250D74">
        <w:t xml:space="preserve">  Le règne de Marie Ière force de nombreux protestants à l'exil sur le continent, où ils s'imprègnent des idées de Calvin et de Bullinger. À leur retour sous Élisabeth Ière, ils jugent le compromis anglican insuffisant.</w:t>
      </w:r>
    </w:p>
    <w:p w14:paraId="42ACE8D5" w14:textId="77777777" w:rsidR="00250D74" w:rsidRPr="00F138FA" w:rsidRDefault="00250D74" w:rsidP="00F138FA">
      <w:pPr>
        <w:pStyle w:val="Titre2"/>
        <w:rPr>
          <w:rFonts w:ascii="Arial" w:hAnsi="Arial" w:cs="Arial"/>
          <w:b/>
          <w:color w:val="0F4761"/>
        </w:rPr>
      </w:pPr>
      <w:bookmarkStart w:id="3" w:name="_qkgtb42w7wyp" w:colFirst="0" w:colLast="0"/>
      <w:bookmarkStart w:id="4" w:name="_ckei15aa5aaq" w:colFirst="0" w:colLast="0"/>
      <w:bookmarkEnd w:id="3"/>
      <w:bookmarkEnd w:id="4"/>
      <w:r w:rsidRPr="00F138FA">
        <w:rPr>
          <w:rFonts w:ascii="Arial" w:hAnsi="Arial" w:cs="Arial"/>
          <w:b/>
          <w:color w:val="0F4761"/>
        </w:rPr>
        <w:t>2. Piliers Théologiques et Doctrines Clés</w:t>
      </w:r>
    </w:p>
    <w:p w14:paraId="7E6D0486" w14:textId="77777777" w:rsidR="00250D74" w:rsidRPr="00250D74" w:rsidRDefault="00250D74" w:rsidP="00250D74">
      <w:pPr>
        <w:jc w:val="both"/>
      </w:pPr>
      <w:r w:rsidRPr="00250D74">
        <w:t>La théologie puritaine repose sur une application rigoureuse des principes de la Réforme, souvent résumés par les « Cinq Sola ».</w:t>
      </w:r>
    </w:p>
    <w:p w14:paraId="37537E05" w14:textId="77777777" w:rsidR="00250D74" w:rsidRPr="00250D74" w:rsidRDefault="00250D74" w:rsidP="00250D74">
      <w:pPr>
        <w:numPr>
          <w:ilvl w:val="0"/>
          <w:numId w:val="4"/>
        </w:numPr>
        <w:jc w:val="both"/>
      </w:pPr>
      <w:r w:rsidRPr="00250D74">
        <w:rPr>
          <w:b/>
          <w:bCs/>
        </w:rPr>
        <w:t xml:space="preserve">Sola </w:t>
      </w:r>
      <w:proofErr w:type="spellStart"/>
      <w:r w:rsidRPr="00250D74">
        <w:rPr>
          <w:b/>
          <w:bCs/>
        </w:rPr>
        <w:t>Scriptura</w:t>
      </w:r>
      <w:proofErr w:type="spellEnd"/>
      <w:r w:rsidRPr="00250D74">
        <w:rPr>
          <w:b/>
          <w:bCs/>
        </w:rPr>
        <w:t xml:space="preserve"> :</w:t>
      </w:r>
      <w:r w:rsidRPr="00250D74">
        <w:t xml:space="preserve">  L'Écriture est l'autorité suprême et unique. Elle est considérée comme le « miroir où l'on contemple le visage de Dieu ».</w:t>
      </w:r>
    </w:p>
    <w:p w14:paraId="19164AAE" w14:textId="77777777" w:rsidR="00250D74" w:rsidRPr="00250D74" w:rsidRDefault="00250D74" w:rsidP="00250D74">
      <w:pPr>
        <w:numPr>
          <w:ilvl w:val="0"/>
          <w:numId w:val="4"/>
        </w:numPr>
        <w:jc w:val="both"/>
      </w:pPr>
      <w:r w:rsidRPr="00250D74">
        <w:rPr>
          <w:b/>
          <w:bCs/>
        </w:rPr>
        <w:t>La Souveraineté de Dieu et la Trinité :</w:t>
      </w:r>
      <w:r w:rsidRPr="00250D74">
        <w:t xml:space="preserve">  Un accent est mis sur la grâce électrice du Père, l'amour sacrificiel du Fils et l'œuvre d'application du Saint-Esprit.</w:t>
      </w:r>
    </w:p>
    <w:p w14:paraId="073BA5EB" w14:textId="77777777" w:rsidR="00250D74" w:rsidRPr="00250D74" w:rsidRDefault="00250D74" w:rsidP="00250D74">
      <w:pPr>
        <w:numPr>
          <w:ilvl w:val="0"/>
          <w:numId w:val="4"/>
        </w:numPr>
        <w:jc w:val="both"/>
      </w:pPr>
      <w:r w:rsidRPr="00250D74">
        <w:rPr>
          <w:b/>
          <w:bCs/>
        </w:rPr>
        <w:t>Le Principe Régulateur du Culte :</w:t>
      </w:r>
      <w:r w:rsidRPr="00250D74">
        <w:t xml:space="preserve">  Contrairement au principe normatif (ce qui n'est pas interdit est permis), les puritains croyaient que seul ce que Dieu commande expressément dans la Bible est autorisé dans le culte. Cela menait à une grande simplicité liturgique.</w:t>
      </w:r>
    </w:p>
    <w:p w14:paraId="53A05FBA" w14:textId="77777777" w:rsidR="00585842" w:rsidRDefault="00250D74" w:rsidP="00250D74">
      <w:pPr>
        <w:numPr>
          <w:ilvl w:val="0"/>
          <w:numId w:val="4"/>
        </w:numPr>
        <w:jc w:val="both"/>
      </w:pPr>
      <w:r w:rsidRPr="00250D74">
        <w:rPr>
          <w:b/>
          <w:bCs/>
        </w:rPr>
        <w:t>La Conversion Personnelle :</w:t>
      </w:r>
      <w:r w:rsidRPr="00250D74">
        <w:t xml:space="preserve">  Il ne suffit pas d'appartenir à une institution. Les puritains insistaient sur la nécessité d'être « né de nouveau » et de posséder une foi transformatrice.</w:t>
      </w:r>
    </w:p>
    <w:p w14:paraId="1658DE66" w14:textId="0A0657D9" w:rsidR="00250D74" w:rsidRPr="00585842" w:rsidRDefault="00585842" w:rsidP="002A5CD9">
      <w:pPr>
        <w:ind w:left="560"/>
        <w:rPr>
          <w:i/>
          <w:color w:val="404040"/>
        </w:rPr>
      </w:pPr>
      <w:r w:rsidRPr="00585842">
        <w:rPr>
          <w:i/>
          <w:color w:val="404040"/>
        </w:rPr>
        <w:lastRenderedPageBreak/>
        <w:t>« Je sers un Dieu précis. » — Réponse du puritain Rogers à ceux qui lui reprochaient sa précision morale.</w:t>
      </w:r>
    </w:p>
    <w:p w14:paraId="6A58A11B" w14:textId="77777777" w:rsidR="00250D74" w:rsidRPr="00F138FA" w:rsidRDefault="00250D74" w:rsidP="00F138FA">
      <w:pPr>
        <w:pStyle w:val="Titre2"/>
        <w:rPr>
          <w:rFonts w:ascii="Arial" w:hAnsi="Arial" w:cs="Arial"/>
          <w:b/>
          <w:color w:val="0F4761"/>
        </w:rPr>
      </w:pPr>
      <w:bookmarkStart w:id="5" w:name="_31ey6s6queq3" w:colFirst="0" w:colLast="0"/>
      <w:bookmarkEnd w:id="5"/>
      <w:r w:rsidRPr="00F138FA">
        <w:rPr>
          <w:rFonts w:ascii="Arial" w:hAnsi="Arial" w:cs="Arial"/>
          <w:b/>
          <w:color w:val="0F4761"/>
        </w:rPr>
        <w:t>3. La Prédication et la Cure de l'Âme humaine</w:t>
      </w:r>
    </w:p>
    <w:p w14:paraId="65296F89" w14:textId="77777777" w:rsidR="00250D74" w:rsidRPr="00250D74" w:rsidRDefault="00250D74" w:rsidP="00250D74">
      <w:pPr>
        <w:jc w:val="both"/>
      </w:pPr>
      <w:r w:rsidRPr="00250D74">
        <w:t>La prédication était le cœur de la vie puritaine, perçue comme un instrument de puissance divine capable de rapprocher l'auditeur du ciel ou de l'enfer.</w:t>
      </w:r>
    </w:p>
    <w:p w14:paraId="01A8B5BD" w14:textId="77777777" w:rsidR="00250D74" w:rsidRPr="005E1C8A" w:rsidRDefault="00250D74" w:rsidP="005E1C8A">
      <w:pPr>
        <w:pStyle w:val="Titre3"/>
        <w:rPr>
          <w:rFonts w:cs="Arial"/>
          <w:b/>
          <w:color w:val="0F4761"/>
        </w:rPr>
      </w:pPr>
      <w:bookmarkStart w:id="6" w:name="_lq548freexw7" w:colFirst="0" w:colLast="0"/>
      <w:bookmarkEnd w:id="6"/>
      <w:r w:rsidRPr="005E1C8A">
        <w:rPr>
          <w:rFonts w:cs="Arial"/>
          <w:b/>
          <w:color w:val="0F4761"/>
        </w:rPr>
        <w:t>Caractéristiques de la prédication puritaine</w:t>
      </w:r>
    </w:p>
    <w:p w14:paraId="4050B467" w14:textId="60B332E6" w:rsidR="00250D74" w:rsidRPr="00250D74" w:rsidRDefault="00250D74" w:rsidP="00250D74">
      <w:pPr>
        <w:numPr>
          <w:ilvl w:val="0"/>
          <w:numId w:val="1"/>
        </w:numPr>
        <w:jc w:val="both"/>
      </w:pPr>
      <w:r w:rsidRPr="00250D74">
        <w:rPr>
          <w:b/>
          <w:bCs/>
        </w:rPr>
        <w:t>Style dépouillé (</w:t>
      </w:r>
      <w:r w:rsidR="00BB0222" w:rsidRPr="002A5CD9">
        <w:rPr>
          <w:b/>
          <w:i/>
        </w:rPr>
        <w:t>Plain Style</w:t>
      </w:r>
      <w:r w:rsidRPr="00250D74">
        <w:rPr>
          <w:b/>
          <w:bCs/>
        </w:rPr>
        <w:t>) :</w:t>
      </w:r>
      <w:r w:rsidRPr="00250D74">
        <w:t xml:space="preserve">  Rejet de l'éloquence ornementale ou des allusions classiques pour privilégier la clarté et l'impact sur le cœur.</w:t>
      </w:r>
    </w:p>
    <w:p w14:paraId="7325BBB7" w14:textId="77777777" w:rsidR="00250D74" w:rsidRPr="00250D74" w:rsidRDefault="00250D74" w:rsidP="00250D74">
      <w:pPr>
        <w:numPr>
          <w:ilvl w:val="0"/>
          <w:numId w:val="1"/>
        </w:numPr>
        <w:jc w:val="both"/>
      </w:pPr>
      <w:r w:rsidRPr="00250D74">
        <w:rPr>
          <w:b/>
          <w:bCs/>
        </w:rPr>
        <w:t>Structure logique :</w:t>
      </w:r>
      <w:r w:rsidRPr="00250D74">
        <w:t xml:space="preserve">  Les sermons étaient soigneusement structurés avec des points et des sous-points pour faciliter la prise de notes et la méditation durant la semaine.</w:t>
      </w:r>
    </w:p>
    <w:p w14:paraId="099F6128" w14:textId="77777777" w:rsidR="00250D74" w:rsidRPr="00250D74" w:rsidRDefault="00250D74" w:rsidP="00250D74">
      <w:pPr>
        <w:numPr>
          <w:ilvl w:val="0"/>
          <w:numId w:val="1"/>
        </w:numPr>
        <w:jc w:val="both"/>
      </w:pPr>
      <w:r w:rsidRPr="00250D74">
        <w:rPr>
          <w:b/>
          <w:bCs/>
        </w:rPr>
        <w:t>Application aux « affections » :</w:t>
      </w:r>
      <w:r w:rsidRPr="00250D74">
        <w:t xml:space="preserve">  Selon Jonathan Edwards, le but était d'élever les émotions produites par le Saint-Esprit (les affections) en accord avec la vérité biblique.</w:t>
      </w:r>
    </w:p>
    <w:p w14:paraId="425EF0CE" w14:textId="77777777" w:rsidR="00250D74" w:rsidRPr="00250D74" w:rsidRDefault="00250D74" w:rsidP="00250D74">
      <w:pPr>
        <w:numPr>
          <w:ilvl w:val="0"/>
          <w:numId w:val="1"/>
        </w:numPr>
        <w:jc w:val="both"/>
      </w:pPr>
      <w:r w:rsidRPr="00250D74">
        <w:rPr>
          <w:b/>
          <w:bCs/>
        </w:rPr>
        <w:t>Sérieux et urgence :</w:t>
      </w:r>
      <w:r w:rsidRPr="00250D74">
        <w:t xml:space="preserve">  Pas de plaisanteries en chaire. Le prédicateur parlait comme un homme ayant un message urgent de la part de Dieu.</w:t>
      </w:r>
    </w:p>
    <w:p w14:paraId="4F48EE4B" w14:textId="77777777" w:rsidR="00250D74" w:rsidRPr="00F138FA" w:rsidRDefault="00250D74" w:rsidP="00F138FA">
      <w:pPr>
        <w:pStyle w:val="Titre2"/>
        <w:rPr>
          <w:rFonts w:ascii="Arial" w:hAnsi="Arial" w:cs="Arial"/>
          <w:b/>
          <w:color w:val="0F4761"/>
        </w:rPr>
      </w:pPr>
      <w:bookmarkStart w:id="7" w:name="_ce1f1yscdax4" w:colFirst="0" w:colLast="0"/>
      <w:bookmarkEnd w:id="7"/>
      <w:r w:rsidRPr="00F138FA">
        <w:rPr>
          <w:rFonts w:ascii="Arial" w:hAnsi="Arial" w:cs="Arial"/>
          <w:b/>
          <w:color w:val="0F4761"/>
        </w:rPr>
        <w:t>4. Figures de Proue et Rayonnement Intellectuel</w:t>
      </w:r>
    </w:p>
    <w:p w14:paraId="3BEA9CD2" w14:textId="77777777" w:rsidR="00250D74" w:rsidRPr="00250D74" w:rsidRDefault="00250D74" w:rsidP="00250D74">
      <w:pPr>
        <w:jc w:val="both"/>
      </w:pPr>
      <w:r w:rsidRPr="00250D74">
        <w:t>Le mouvement a produit des érudits de haut niveau, formés principalement à Cambridge et Oxford.</w:t>
      </w:r>
    </w:p>
    <w:p w14:paraId="328EFB82" w14:textId="77777777" w:rsidR="00250D74" w:rsidRPr="00250D74" w:rsidRDefault="00250D74" w:rsidP="00250D74">
      <w:pPr>
        <w:numPr>
          <w:ilvl w:val="0"/>
          <w:numId w:val="2"/>
        </w:numPr>
        <w:jc w:val="both"/>
      </w:pPr>
      <w:r w:rsidRPr="00250D74">
        <w:rPr>
          <w:b/>
          <w:bCs/>
        </w:rPr>
        <w:t>William Perkins :</w:t>
      </w:r>
      <w:r w:rsidRPr="00250D74">
        <w:t xml:space="preserve">  L'architecte du mouvement, connu pour sa capacité à prêcher de manière pastorale tout en maintenant une théologie académique solide.</w:t>
      </w:r>
    </w:p>
    <w:p w14:paraId="32536E30" w14:textId="77777777" w:rsidR="00250D74" w:rsidRPr="00250D74" w:rsidRDefault="00250D74" w:rsidP="00250D74">
      <w:pPr>
        <w:numPr>
          <w:ilvl w:val="0"/>
          <w:numId w:val="2"/>
        </w:numPr>
        <w:jc w:val="both"/>
      </w:pPr>
      <w:r w:rsidRPr="00250D74">
        <w:rPr>
          <w:b/>
          <w:bCs/>
        </w:rPr>
        <w:t>Richard Sibbs :</w:t>
      </w:r>
      <w:r w:rsidRPr="00250D74">
        <w:t xml:space="preserve">  Surnommé le « Docteur Céleste », il était réputé pour sa douceur et sa capacité à consoler les « pécheurs meurtris » par la présentation de la grâce du Christ.</w:t>
      </w:r>
    </w:p>
    <w:p w14:paraId="45B6F79C" w14:textId="77777777" w:rsidR="00250D74" w:rsidRPr="00250D74" w:rsidRDefault="00250D74" w:rsidP="00250D74">
      <w:pPr>
        <w:numPr>
          <w:ilvl w:val="0"/>
          <w:numId w:val="2"/>
        </w:numPr>
        <w:jc w:val="both"/>
      </w:pPr>
      <w:r w:rsidRPr="00250D74">
        <w:rPr>
          <w:b/>
          <w:bCs/>
        </w:rPr>
        <w:t>John Owen :</w:t>
      </w:r>
      <w:r w:rsidRPr="00250D74">
        <w:t xml:space="preserve">  Souvent considéré comme le plus grand théologien puritain, il a écrit des ouvrages denses sur la spiritualité et la sainteté (ex. :  </w:t>
      </w:r>
      <w:r w:rsidRPr="00250D74">
        <w:rPr>
          <w:i/>
          <w:iCs/>
        </w:rPr>
        <w:t>La spiritualité de l’esprit)</w:t>
      </w:r>
      <w:r w:rsidRPr="00250D74">
        <w:t>.</w:t>
      </w:r>
    </w:p>
    <w:p w14:paraId="17460327" w14:textId="77777777" w:rsidR="00250D74" w:rsidRPr="00250D74" w:rsidRDefault="00250D74" w:rsidP="00250D74">
      <w:pPr>
        <w:numPr>
          <w:ilvl w:val="0"/>
          <w:numId w:val="2"/>
        </w:numPr>
        <w:jc w:val="both"/>
      </w:pPr>
      <w:r w:rsidRPr="00250D74">
        <w:rPr>
          <w:b/>
          <w:bCs/>
        </w:rPr>
        <w:t>Samuel Rutherford :</w:t>
      </w:r>
      <w:r w:rsidRPr="00250D74">
        <w:t xml:space="preserve">  Figure écossaise alliant une intelligence théologique acérée à un cœur de poète, particulièrement dans ses écrits sur l'amour de Christ.</w:t>
      </w:r>
    </w:p>
    <w:p w14:paraId="73F39CB9" w14:textId="77777777" w:rsidR="00250D74" w:rsidRPr="00250D74" w:rsidRDefault="00250D74" w:rsidP="00250D74">
      <w:pPr>
        <w:numPr>
          <w:ilvl w:val="0"/>
          <w:numId w:val="2"/>
        </w:numPr>
        <w:jc w:val="both"/>
      </w:pPr>
      <w:r w:rsidRPr="00250D74">
        <w:rPr>
          <w:b/>
          <w:bCs/>
        </w:rPr>
        <w:t>John Bunyan :</w:t>
      </w:r>
      <w:r w:rsidRPr="00250D74">
        <w:t xml:space="preserve">  Auteur du célèbre </w:t>
      </w:r>
      <w:r w:rsidRPr="00250D74">
        <w:rPr>
          <w:i/>
          <w:iCs/>
        </w:rPr>
        <w:t>Voyage du Pèlerin</w:t>
      </w:r>
      <w:r w:rsidRPr="00250D74">
        <w:t>, écrit alors qu'il était emprisonné pour sa foi.</w:t>
      </w:r>
    </w:p>
    <w:p w14:paraId="63D04FD4" w14:textId="77777777" w:rsidR="00250D74" w:rsidRPr="00F138FA" w:rsidRDefault="00250D74" w:rsidP="00F138FA">
      <w:pPr>
        <w:pStyle w:val="Titre2"/>
        <w:rPr>
          <w:rFonts w:ascii="Arial" w:hAnsi="Arial" w:cs="Arial"/>
          <w:b/>
          <w:color w:val="0F4761"/>
        </w:rPr>
      </w:pPr>
      <w:bookmarkStart w:id="8" w:name="_p3zmtqha6bmz" w:colFirst="0" w:colLast="0"/>
      <w:bookmarkEnd w:id="8"/>
      <w:r w:rsidRPr="00F138FA">
        <w:rPr>
          <w:rFonts w:ascii="Arial" w:hAnsi="Arial" w:cs="Arial"/>
          <w:b/>
          <w:color w:val="0F4761"/>
        </w:rPr>
        <w:t>5. Mythes, Réalités et Failles</w:t>
      </w:r>
    </w:p>
    <w:p w14:paraId="49936423" w14:textId="77777777" w:rsidR="00250D74" w:rsidRPr="00250D74" w:rsidRDefault="00250D74" w:rsidP="00250D74">
      <w:pPr>
        <w:jc w:val="both"/>
      </w:pPr>
      <w:r w:rsidRPr="00250D74">
        <w:t>L'analyse des sources permet de nuancer la réputation historique des puritains.</w:t>
      </w:r>
    </w:p>
    <w:p w14:paraId="367570AD" w14:textId="77777777" w:rsidR="00250D74" w:rsidRPr="005E1C8A" w:rsidRDefault="00250D74" w:rsidP="005E1C8A">
      <w:pPr>
        <w:pStyle w:val="Titre3"/>
        <w:rPr>
          <w:rFonts w:cs="Arial"/>
          <w:b/>
          <w:color w:val="0F4761"/>
        </w:rPr>
      </w:pPr>
      <w:bookmarkStart w:id="9" w:name="_4hl0a3afz5nc" w:colFirst="0" w:colLast="0"/>
      <w:bookmarkEnd w:id="9"/>
      <w:r w:rsidRPr="005E1C8A">
        <w:rPr>
          <w:rFonts w:cs="Arial"/>
          <w:b/>
          <w:color w:val="0F4761"/>
        </w:rPr>
        <w:t>Rectification des idées reçues</w:t>
      </w:r>
    </w:p>
    <w:p w14:paraId="52706E25" w14:textId="77777777" w:rsidR="00250D74" w:rsidRPr="00250D74" w:rsidRDefault="00250D74" w:rsidP="00250D74">
      <w:pPr>
        <w:numPr>
          <w:ilvl w:val="0"/>
          <w:numId w:val="6"/>
        </w:numPr>
        <w:jc w:val="both"/>
      </w:pPr>
      <w:r w:rsidRPr="00250D74">
        <w:rPr>
          <w:b/>
          <w:bCs/>
        </w:rPr>
        <w:t>La joie et les loisirs :</w:t>
      </w:r>
      <w:r w:rsidRPr="00250D74">
        <w:t xml:space="preserve">  Contrairement à la légende de « rabat-joie », les puritains appréciaient la pêche, la chasse, la natation, la musique et la lecture. Ils s'opposaient à l'ivrognerie et aux excès, non au plaisir en soi.</w:t>
      </w:r>
    </w:p>
    <w:p w14:paraId="3E3E5E5A" w14:textId="77777777" w:rsidR="00250D74" w:rsidRPr="00250D74" w:rsidRDefault="00250D74" w:rsidP="00250D74">
      <w:pPr>
        <w:numPr>
          <w:ilvl w:val="0"/>
          <w:numId w:val="6"/>
        </w:numPr>
        <w:jc w:val="both"/>
      </w:pPr>
      <w:r w:rsidRPr="00250D74">
        <w:rPr>
          <w:b/>
          <w:bCs/>
        </w:rPr>
        <w:t>L'éducation :</w:t>
      </w:r>
      <w:r w:rsidRPr="00250D74">
        <w:t xml:space="preserve">  Ils étaient loin d'être anti-intellectuels. Leur amour de l'apprentissage a conduit à la création de Harvard (1636) pour assurer la pérennité d'un ministère instruit.</w:t>
      </w:r>
    </w:p>
    <w:p w14:paraId="79B68586" w14:textId="77777777" w:rsidR="00250D74" w:rsidRPr="005E1C8A" w:rsidRDefault="00250D74" w:rsidP="005E1C8A">
      <w:pPr>
        <w:pStyle w:val="Titre3"/>
        <w:rPr>
          <w:rFonts w:cs="Arial"/>
          <w:b/>
          <w:color w:val="0F4761"/>
        </w:rPr>
      </w:pPr>
      <w:bookmarkStart w:id="10" w:name="_2p7u29sn4e71" w:colFirst="0" w:colLast="0"/>
      <w:bookmarkEnd w:id="10"/>
      <w:r w:rsidRPr="005E1C8A">
        <w:rPr>
          <w:rFonts w:cs="Arial"/>
          <w:b/>
          <w:color w:val="0F4761"/>
        </w:rPr>
        <w:lastRenderedPageBreak/>
        <w:t>Les « pieds d'argile »</w:t>
      </w:r>
    </w:p>
    <w:p w14:paraId="6A2D55EC" w14:textId="77777777" w:rsidR="00250D74" w:rsidRPr="00250D74" w:rsidRDefault="00250D74" w:rsidP="00250D74">
      <w:pPr>
        <w:numPr>
          <w:ilvl w:val="0"/>
          <w:numId w:val="3"/>
        </w:numPr>
        <w:jc w:val="both"/>
      </w:pPr>
      <w:r w:rsidRPr="00250D74">
        <w:rPr>
          <w:b/>
          <w:bCs/>
        </w:rPr>
        <w:t>L'esclavage :</w:t>
      </w:r>
      <w:r w:rsidRPr="00250D74">
        <w:t xml:space="preserve">  Le document souligne avec honnêteté que même des figures comme Jonathan Edwards possédaient des esclaves. Bien que cela soit décourageant pour les lecteurs modernes, il est noté que les semences de l'</w:t>
      </w:r>
      <w:proofErr w:type="spellStart"/>
      <w:r w:rsidRPr="00250D74">
        <w:t>anti-esclavagisme</w:t>
      </w:r>
      <w:proofErr w:type="spellEnd"/>
      <w:r w:rsidRPr="00250D74">
        <w:t xml:space="preserve"> ont été plantées par la génération suivante (dont le fils d'Edwards).</w:t>
      </w:r>
    </w:p>
    <w:p w14:paraId="68461C78" w14:textId="77777777" w:rsidR="00250D74" w:rsidRPr="00250D74" w:rsidRDefault="00250D74" w:rsidP="00250D74">
      <w:pPr>
        <w:numPr>
          <w:ilvl w:val="0"/>
          <w:numId w:val="3"/>
        </w:numPr>
        <w:jc w:val="both"/>
      </w:pPr>
      <w:r w:rsidRPr="00250D74">
        <w:rPr>
          <w:b/>
          <w:bCs/>
        </w:rPr>
        <w:t>L'introspection morbide :</w:t>
      </w:r>
      <w:r w:rsidRPr="00250D74">
        <w:t xml:space="preserve">  La quête de précision spirituelle pouvait parfois devenir un fardeau psychologique pour certains, bien que les chefs de file aient mis en garde contre le fait de regarder à soi-même plutôt qu'au Christ.</w:t>
      </w:r>
    </w:p>
    <w:p w14:paraId="64BF0A59" w14:textId="77777777" w:rsidR="00250D74" w:rsidRPr="00F138FA" w:rsidRDefault="00250D74" w:rsidP="00F138FA">
      <w:pPr>
        <w:pStyle w:val="Titre2"/>
        <w:rPr>
          <w:rFonts w:ascii="Arial" w:hAnsi="Arial" w:cs="Arial"/>
          <w:b/>
          <w:color w:val="0F4761"/>
        </w:rPr>
      </w:pPr>
      <w:bookmarkStart w:id="11" w:name="_1onsieppfoh2" w:colFirst="0" w:colLast="0"/>
      <w:bookmarkEnd w:id="11"/>
      <w:r w:rsidRPr="00F138FA">
        <w:rPr>
          <w:rFonts w:ascii="Arial" w:hAnsi="Arial" w:cs="Arial"/>
          <w:b/>
          <w:color w:val="0F4761"/>
        </w:rPr>
        <w:t>6. L'Héritage Durable</w:t>
      </w:r>
    </w:p>
    <w:p w14:paraId="0FFCE19C" w14:textId="77777777" w:rsidR="00250D74" w:rsidRPr="00250D74" w:rsidRDefault="00250D74" w:rsidP="00250D74">
      <w:pPr>
        <w:jc w:val="both"/>
      </w:pPr>
      <w:r w:rsidRPr="00250D74">
        <w:t>Le mouvement puritain s'est essoufflé au début du 18e siècle, mais son esprit a perduré à travers diverses « vagues ».</w:t>
      </w:r>
    </w:p>
    <w:p w14:paraId="7367D903" w14:textId="77777777" w:rsidR="00250D74" w:rsidRPr="00250D74" w:rsidRDefault="00250D74" w:rsidP="00250D74">
      <w:pPr>
        <w:numPr>
          <w:ilvl w:val="0"/>
          <w:numId w:val="7"/>
        </w:numPr>
        <w:jc w:val="both"/>
      </w:pPr>
      <w:r w:rsidRPr="00250D74">
        <w:rPr>
          <w:b/>
          <w:bCs/>
        </w:rPr>
        <w:t>Le Grand Réveil :</w:t>
      </w:r>
      <w:r w:rsidRPr="00250D74">
        <w:t xml:space="preserve">  Jonathan Edwards et George Whitefield ont prolongé la dévotion et la théologie puritaines.</w:t>
      </w:r>
    </w:p>
    <w:p w14:paraId="71FD42E5" w14:textId="77777777" w:rsidR="00250D74" w:rsidRPr="00250D74" w:rsidRDefault="00250D74" w:rsidP="00250D74">
      <w:pPr>
        <w:numPr>
          <w:ilvl w:val="0"/>
          <w:numId w:val="7"/>
        </w:numPr>
        <w:jc w:val="both"/>
      </w:pPr>
      <w:r w:rsidRPr="00250D74">
        <w:rPr>
          <w:b/>
          <w:bCs/>
        </w:rPr>
        <w:t>Le 19e siècle :</w:t>
      </w:r>
      <w:r w:rsidRPr="00250D74">
        <w:t xml:space="preserve">  Charles Spurgeon a puisé sa force doctrinale dans la lecture assidue des puritains.</w:t>
      </w:r>
    </w:p>
    <w:p w14:paraId="1BFC404F" w14:textId="77777777" w:rsidR="00250D74" w:rsidRPr="00250D74" w:rsidRDefault="00250D74" w:rsidP="00250D74">
      <w:pPr>
        <w:numPr>
          <w:ilvl w:val="0"/>
          <w:numId w:val="7"/>
        </w:numPr>
        <w:jc w:val="both"/>
      </w:pPr>
      <w:r w:rsidRPr="00250D74">
        <w:rPr>
          <w:b/>
          <w:bCs/>
        </w:rPr>
        <w:t>L'influence moderne :</w:t>
      </w:r>
      <w:r w:rsidRPr="00250D74">
        <w:t xml:space="preserve">  Des figures comme Martin Lloyd Jones ou John Piper ont contribué à ressusciter l'intérêt pour cette « divinité pratique ».</w:t>
      </w:r>
    </w:p>
    <w:p w14:paraId="7D9868A8" w14:textId="77777777" w:rsidR="005E1C8A" w:rsidRDefault="005E1C8A" w:rsidP="005E1C8A">
      <w:pPr>
        <w:pStyle w:val="Titre3"/>
        <w:rPr>
          <w:rFonts w:cs="Arial"/>
          <w:b/>
          <w:color w:val="0F4761"/>
        </w:rPr>
      </w:pPr>
      <w:bookmarkStart w:id="12" w:name="_n0oszhvqn6u5" w:colFirst="0" w:colLast="0"/>
      <w:bookmarkEnd w:id="12"/>
      <w:r w:rsidRPr="005E1C8A">
        <w:rPr>
          <w:rFonts w:cs="Arial"/>
          <w:b/>
          <w:color w:val="0F4761"/>
        </w:rPr>
        <w:t>Pourquoi les puritains restent-ils pertinents ?</w:t>
      </w:r>
    </w:p>
    <w:p w14:paraId="373BC694" w14:textId="586A35A2" w:rsidR="00250D74" w:rsidRPr="005E1C8A" w:rsidRDefault="005E1C8A" w:rsidP="005E1C8A">
      <w:pPr>
        <w:rPr>
          <w:color w:val="000000"/>
        </w:rPr>
      </w:pPr>
      <w:r w:rsidRPr="005E1C8A">
        <w:rPr>
          <w:color w:val="000000"/>
        </w:rPr>
        <w:t xml:space="preserve">Leur « </w:t>
      </w:r>
      <w:proofErr w:type="spellStart"/>
      <w:r w:rsidRPr="005E1C8A">
        <w:rPr>
          <w:color w:val="000000"/>
        </w:rPr>
        <w:t>superpower</w:t>
      </w:r>
      <w:proofErr w:type="spellEnd"/>
      <w:r w:rsidRPr="005E1C8A">
        <w:rPr>
          <w:color w:val="000000"/>
        </w:rPr>
        <w:t xml:space="preserve"> » était la patience : la capacité de méditer longuement sur une vérité biblique, là où l'ère moderne privilégie la consommation rapide d'informations. Ils offrent un modèle de résistance face à la persécution et une vision du monde où la frontière entre le sacré et le séculier s'efface devant la souveraineté de Dieu.</w:t>
      </w:r>
    </w:p>
    <w:p w14:paraId="63AC3E93" w14:textId="77777777" w:rsidR="005E1C8A" w:rsidRDefault="005E1C8A" w:rsidP="005E1C8A">
      <w:pPr>
        <w:pStyle w:val="Titre3"/>
        <w:rPr>
          <w:rFonts w:cs="Arial"/>
          <w:b/>
          <w:color w:val="0F4761"/>
        </w:rPr>
      </w:pPr>
      <w:r w:rsidRPr="005E1C8A">
        <w:rPr>
          <w:rFonts w:cs="Arial"/>
          <w:b/>
          <w:color w:val="0F4761"/>
        </w:rPr>
        <w:t>Conclusion du document</w:t>
      </w:r>
    </w:p>
    <w:p w14:paraId="0B3DF83B" w14:textId="3661DEC7" w:rsidR="00250D74" w:rsidRPr="005E1C8A" w:rsidRDefault="005E1C8A" w:rsidP="005E1C8A">
      <w:pPr>
        <w:rPr>
          <w:color w:val="000000"/>
        </w:rPr>
      </w:pPr>
      <w:r w:rsidRPr="005E1C8A">
        <w:rPr>
          <w:color w:val="000000"/>
        </w:rPr>
        <w:t>Le puritanisme n'est pas une simple curiosité historique, mais une invitation à une profondeur spirituelle qui embrasse la totalité de l'existence humaine sous le regard de l'éternité.</w:t>
      </w:r>
    </w:p>
    <w:p w14:paraId="6368A874" w14:textId="77777777" w:rsidR="00250D74" w:rsidRPr="00250D74" w:rsidRDefault="00250D74" w:rsidP="00250D74"/>
    <w:p w14:paraId="1747158D" w14:textId="77777777" w:rsidR="00250D8D" w:rsidRPr="00250D74" w:rsidRDefault="00250D8D"/>
    <w:sectPr w:rsidR="00250D8D" w:rsidRPr="00250D74" w:rsidSect="00250D74">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F5382" w14:textId="77777777" w:rsidR="00F1387D" w:rsidRDefault="00F1387D" w:rsidP="002409E3">
      <w:pPr>
        <w:spacing w:after="0" w:line="240" w:lineRule="auto"/>
      </w:pPr>
      <w:r>
        <w:separator/>
      </w:r>
    </w:p>
  </w:endnote>
  <w:endnote w:type="continuationSeparator" w:id="0">
    <w:p w14:paraId="0BF946C0" w14:textId="77777777" w:rsidR="00F1387D" w:rsidRDefault="00F1387D" w:rsidP="0024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838" w14:textId="77777777" w:rsidR="002409E3" w:rsidRDefault="002409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7870" w14:textId="77777777" w:rsidR="002409E3" w:rsidRDefault="002409E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1D1E" w14:textId="77777777" w:rsidR="002409E3" w:rsidRDefault="002409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5E097" w14:textId="77777777" w:rsidR="00F1387D" w:rsidRDefault="00F1387D" w:rsidP="002409E3">
      <w:pPr>
        <w:spacing w:after="0" w:line="240" w:lineRule="auto"/>
      </w:pPr>
      <w:r>
        <w:separator/>
      </w:r>
    </w:p>
  </w:footnote>
  <w:footnote w:type="continuationSeparator" w:id="0">
    <w:p w14:paraId="13962EC9" w14:textId="77777777" w:rsidR="00F1387D" w:rsidRDefault="00F1387D" w:rsidP="0024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EF7A" w14:textId="77777777" w:rsidR="002409E3" w:rsidRDefault="002409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A7D8" w14:textId="77777777" w:rsidR="002409E3" w:rsidRDefault="002409E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3165" w14:textId="77777777" w:rsidR="002409E3" w:rsidRDefault="002409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B890D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507881"/>
    <w:multiLevelType w:val="multilevel"/>
    <w:tmpl w:val="9454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E0B0C"/>
    <w:multiLevelType w:val="multilevel"/>
    <w:tmpl w:val="0DD02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F1861"/>
    <w:multiLevelType w:val="multilevel"/>
    <w:tmpl w:val="11E4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526E2"/>
    <w:multiLevelType w:val="multilevel"/>
    <w:tmpl w:val="7C74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2D733E"/>
    <w:multiLevelType w:val="multilevel"/>
    <w:tmpl w:val="C7327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1F3DED"/>
    <w:multiLevelType w:val="multilevel"/>
    <w:tmpl w:val="D4FC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BB2797"/>
    <w:multiLevelType w:val="multilevel"/>
    <w:tmpl w:val="EC0AF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4150087">
    <w:abstractNumId w:val="4"/>
  </w:num>
  <w:num w:numId="2" w16cid:durableId="101922393">
    <w:abstractNumId w:val="1"/>
  </w:num>
  <w:num w:numId="3" w16cid:durableId="1365517637">
    <w:abstractNumId w:val="6"/>
  </w:num>
  <w:num w:numId="4" w16cid:durableId="1381589863">
    <w:abstractNumId w:val="7"/>
  </w:num>
  <w:num w:numId="5" w16cid:durableId="647709912">
    <w:abstractNumId w:val="3"/>
  </w:num>
  <w:num w:numId="6" w16cid:durableId="488139219">
    <w:abstractNumId w:val="5"/>
  </w:num>
  <w:num w:numId="7" w16cid:durableId="2007247295">
    <w:abstractNumId w:val="2"/>
  </w:num>
  <w:num w:numId="8" w16cid:durableId="59336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74"/>
    <w:rsid w:val="001A0AF5"/>
    <w:rsid w:val="002409E3"/>
    <w:rsid w:val="00250D74"/>
    <w:rsid w:val="00250D8D"/>
    <w:rsid w:val="002A5CD9"/>
    <w:rsid w:val="00585842"/>
    <w:rsid w:val="005E1C8A"/>
    <w:rsid w:val="006457FC"/>
    <w:rsid w:val="008D4755"/>
    <w:rsid w:val="00952B71"/>
    <w:rsid w:val="00BB0222"/>
    <w:rsid w:val="00C10F31"/>
    <w:rsid w:val="00D53A22"/>
    <w:rsid w:val="00E04DA7"/>
    <w:rsid w:val="00F1387D"/>
    <w:rsid w:val="00F138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889D"/>
  <w15:chartTrackingRefBased/>
  <w15:docId w15:val="{570FCBF2-5C77-4D7E-BC55-753CA6D2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D74"/>
    <w:pPr>
      <w:spacing w:line="300" w:lineRule="atLeast"/>
    </w:pPr>
    <w:rPr>
      <w:rFonts w:ascii="Arial" w:eastAsia="Arial" w:hAnsi="Arial" w:cs="Arial"/>
      <w:kern w:val="0"/>
      <w:sz w:val="22"/>
      <w:szCs w:val="22"/>
      <w:lang w:eastAsia="fr-CA"/>
      <w14:ligatures w14:val="none"/>
    </w:rPr>
  </w:style>
  <w:style w:type="paragraph" w:styleId="Titre1">
    <w:name w:val="heading 1"/>
    <w:basedOn w:val="Normal"/>
    <w:next w:val="Normal"/>
    <w:link w:val="Titre1Car"/>
    <w:uiPriority w:val="9"/>
    <w:qFormat/>
    <w:rsid w:val="00250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50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50D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50D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250D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0D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0D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0D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0D7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0D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50D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50D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50D74"/>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250D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0D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0D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0D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0D74"/>
    <w:rPr>
      <w:rFonts w:eastAsiaTheme="majorEastAsia" w:cstheme="majorBidi"/>
      <w:color w:val="272727" w:themeColor="text1" w:themeTint="D8"/>
    </w:rPr>
  </w:style>
  <w:style w:type="paragraph" w:styleId="Titre">
    <w:name w:val="Title"/>
    <w:basedOn w:val="Normal"/>
    <w:next w:val="Normal"/>
    <w:link w:val="TitreCar"/>
    <w:uiPriority w:val="10"/>
    <w:qFormat/>
    <w:rsid w:val="0025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0D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0D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0D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0D74"/>
    <w:pPr>
      <w:spacing w:before="160"/>
      <w:jc w:val="center"/>
    </w:pPr>
    <w:rPr>
      <w:i/>
      <w:iCs/>
      <w:color w:val="404040" w:themeColor="text1" w:themeTint="BF"/>
    </w:rPr>
  </w:style>
  <w:style w:type="character" w:customStyle="1" w:styleId="CitationCar">
    <w:name w:val="Citation Car"/>
    <w:basedOn w:val="Policepardfaut"/>
    <w:link w:val="Citation"/>
    <w:uiPriority w:val="29"/>
    <w:rsid w:val="00250D74"/>
    <w:rPr>
      <w:i/>
      <w:iCs/>
      <w:color w:val="404040" w:themeColor="text1" w:themeTint="BF"/>
    </w:rPr>
  </w:style>
  <w:style w:type="paragraph" w:styleId="Paragraphedeliste">
    <w:name w:val="List Paragraph"/>
    <w:basedOn w:val="Normal"/>
    <w:uiPriority w:val="34"/>
    <w:qFormat/>
    <w:rsid w:val="00250D74"/>
    <w:pPr>
      <w:ind w:left="720"/>
      <w:contextualSpacing/>
    </w:pPr>
  </w:style>
  <w:style w:type="character" w:styleId="Accentuationintense">
    <w:name w:val="Intense Emphasis"/>
    <w:basedOn w:val="Policepardfaut"/>
    <w:uiPriority w:val="21"/>
    <w:qFormat/>
    <w:rsid w:val="00250D74"/>
    <w:rPr>
      <w:i/>
      <w:iCs/>
      <w:color w:val="0F4761" w:themeColor="accent1" w:themeShade="BF"/>
    </w:rPr>
  </w:style>
  <w:style w:type="paragraph" w:styleId="Citationintense">
    <w:name w:val="Intense Quote"/>
    <w:basedOn w:val="Normal"/>
    <w:next w:val="Normal"/>
    <w:link w:val="CitationintenseCar"/>
    <w:uiPriority w:val="30"/>
    <w:qFormat/>
    <w:rsid w:val="00250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0D74"/>
    <w:rPr>
      <w:i/>
      <w:iCs/>
      <w:color w:val="0F4761" w:themeColor="accent1" w:themeShade="BF"/>
    </w:rPr>
  </w:style>
  <w:style w:type="character" w:styleId="Rfrenceintense">
    <w:name w:val="Intense Reference"/>
    <w:basedOn w:val="Policepardfaut"/>
    <w:uiPriority w:val="32"/>
    <w:qFormat/>
    <w:rsid w:val="00250D74"/>
    <w:rPr>
      <w:b/>
      <w:bCs/>
      <w:smallCaps/>
      <w:color w:val="0F4761" w:themeColor="accent1" w:themeShade="BF"/>
      <w:spacing w:val="5"/>
    </w:rPr>
  </w:style>
  <w:style w:type="character" w:styleId="Lienhypertexte">
    <w:name w:val="Hyperlink"/>
    <w:basedOn w:val="Policepardfaut"/>
    <w:uiPriority w:val="99"/>
    <w:unhideWhenUsed/>
    <w:rsid w:val="00250D74"/>
    <w:rPr>
      <w:color w:val="467886" w:themeColor="hyperlink"/>
      <w:u w:val="single"/>
    </w:rPr>
  </w:style>
  <w:style w:type="paragraph" w:styleId="En-tte">
    <w:name w:val="header"/>
    <w:basedOn w:val="Normal"/>
    <w:link w:val="En-tteCar"/>
    <w:uiPriority w:val="99"/>
    <w:unhideWhenUsed/>
    <w:rsid w:val="002409E3"/>
    <w:pPr>
      <w:tabs>
        <w:tab w:val="center" w:pos="4703"/>
        <w:tab w:val="right" w:pos="9406"/>
      </w:tabs>
      <w:spacing w:line="240" w:lineRule="auto"/>
    </w:pPr>
  </w:style>
  <w:style w:type="character" w:customStyle="1" w:styleId="En-tteCar">
    <w:name w:val="En-tête Car"/>
    <w:basedOn w:val="Policepardfaut"/>
    <w:link w:val="En-tte"/>
    <w:uiPriority w:val="99"/>
    <w:rsid w:val="002409E3"/>
    <w:rPr>
      <w:rFonts w:ascii="Arial" w:eastAsia="Arial" w:hAnsi="Arial" w:cs="Arial"/>
      <w:kern w:val="0"/>
      <w:sz w:val="22"/>
      <w:szCs w:val="22"/>
      <w:lang w:eastAsia="fr-CA"/>
      <w14:ligatures w14:val="none"/>
    </w:rPr>
  </w:style>
  <w:style w:type="paragraph" w:styleId="Pieddepage">
    <w:name w:val="footer"/>
    <w:basedOn w:val="Normal"/>
    <w:link w:val="PieddepageCar"/>
    <w:uiPriority w:val="99"/>
    <w:unhideWhenUsed/>
    <w:rsid w:val="002409E3"/>
    <w:pPr>
      <w:tabs>
        <w:tab w:val="center" w:pos="4703"/>
        <w:tab w:val="right" w:pos="9406"/>
      </w:tabs>
      <w:spacing w:line="240" w:lineRule="auto"/>
    </w:pPr>
  </w:style>
  <w:style w:type="character" w:customStyle="1" w:styleId="PieddepageCar">
    <w:name w:val="Pied de page Car"/>
    <w:basedOn w:val="Policepardfaut"/>
    <w:link w:val="Pieddepage"/>
    <w:uiPriority w:val="99"/>
    <w:rsid w:val="002409E3"/>
    <w:rPr>
      <w:rFonts w:ascii="Arial" w:eastAsia="Arial" w:hAnsi="Arial" w:cs="Arial"/>
      <w:kern w:val="0"/>
      <w:sz w:val="22"/>
      <w:szCs w:val="22"/>
      <w:lang w:eastAsia="fr-CA"/>
      <w14:ligatures w14:val="none"/>
    </w:rPr>
  </w:style>
  <w:style w:type="paragraph" w:styleId="Listepuces">
    <w:name w:val="List Bullet"/>
    <w:basedOn w:val="Normal"/>
    <w:uiPriority w:val="99"/>
    <w:semiHidden/>
    <w:unhideWhenUsed/>
    <w:rsid w:val="006457FC"/>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VeYO6hmKGs&amp;t=2177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C876BF-CD72-4332-BF12-927E239D6F4E}">
  <we:reference id="wa200010453" version="1.0.0.1" store="en-US" storeType="OMEX"/>
  <we:alternateReferences>
    <we:reference id="WA200010453" version="1.0.0.1" store="" storeType="OMEX"/>
  </we:alternateReferences>
  <we:properties>
    <we:property name="claude.fileId" value="&quot;73685f46-3b32-4eb2-bc8b-24ffffa16a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CA8D4-059D-444E-BB8E-FB4AF6171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1138</Words>
  <Characters>5953</Characters>
  <Application>Microsoft Office Word</Application>
  <DocSecurity>0</DocSecurity>
  <Lines>91</Lines>
  <Paragraphs>51</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11</cp:revision>
  <cp:lastPrinted>2026-07-01T12:08:00Z</cp:lastPrinted>
  <dcterms:created xsi:type="dcterms:W3CDTF">2026-07-01T12:00:00Z</dcterms:created>
  <dcterms:modified xsi:type="dcterms:W3CDTF">2026-07-01T12:09:00Z</dcterms:modified>
</cp:coreProperties>
</file>