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EF6A9" w14:textId="77777777" w:rsidR="00A675E4" w:rsidRPr="00A675E4" w:rsidRDefault="00A675E4" w:rsidP="00A675E4">
      <w:pPr>
        <w:jc w:val="both"/>
      </w:pPr>
      <w:r w:rsidRPr="00A675E4">
        <w:rPr>
          <w:b/>
          <w:bCs/>
        </w:rPr>
        <w:t xml:space="preserve">L'Avènement de l'Entreprise Agentique : Un Cadriciel d'Architecture pour l'Interopérabilité </w:t>
      </w:r>
      <w:proofErr w:type="spellStart"/>
      <w:r w:rsidRPr="00A675E4">
        <w:rPr>
          <w:b/>
          <w:bCs/>
        </w:rPr>
        <w:t>Cognitivo</w:t>
      </w:r>
      <w:proofErr w:type="spellEnd"/>
      <w:r w:rsidRPr="00A675E4">
        <w:rPr>
          <w:b/>
          <w:bCs/>
        </w:rPr>
        <w:t>-Adaptative</w:t>
      </w:r>
    </w:p>
    <w:p w14:paraId="3FE9A562" w14:textId="77777777" w:rsidR="00A675E4" w:rsidRPr="00A675E4" w:rsidRDefault="00A675E4" w:rsidP="00A675E4">
      <w:pPr>
        <w:jc w:val="both"/>
      </w:pPr>
      <w:r w:rsidRPr="00A675E4">
        <w:t>L'aube de la seconde moitié de la décennie 2020 trouve les organisations à un point d'inflexion critique. Confrontées à une complexité systémique sans précédent, marquée par la convergence des technologies de l'information (TI) et opérationnelles (TO), l'hétérogénéité des environnements infonuagiques et l'impératif de vélocité stratégique, les entreprises font face à une crise d'intégration structurelle. Les paradigmes architecturaux du passé, fondés sur des intégrations rigides et centralisées, ne suffisent plus. Ils engendrent une dette technique paralysante et une incapacité chronique à s'adapter. Cette crise n'est pas seulement technique ; elle est existentielle, menaçant la compétitivité même des organisations.</w:t>
      </w:r>
    </w:p>
    <w:p w14:paraId="017A8157" w14:textId="77777777" w:rsidR="00A675E4" w:rsidRPr="00A675E4" w:rsidRDefault="00A675E4" w:rsidP="00A675E4">
      <w:pPr>
        <w:jc w:val="both"/>
      </w:pPr>
      <w:r w:rsidRPr="00A675E4">
        <w:t xml:space="preserve">Cette monographie postule que la résolution de cette crise exige un changement de paradigme radical : le passage d'une logique d'intégration tactique à une capacité d'interopérabilité stratégique, évoluant de la simple connexion technique vers une interopérabilité « </w:t>
      </w:r>
      <w:proofErr w:type="spellStart"/>
      <w:r w:rsidRPr="00A675E4">
        <w:t>cognitivo</w:t>
      </w:r>
      <w:proofErr w:type="spellEnd"/>
      <w:r w:rsidRPr="00A675E4">
        <w:t>-adaptative ». Ce saut qualitatif, catalysé par les avancées en intelligence artificielle, mène inexorablement à l'émergence d'un nouveau modèle organisationnel : l'Entreprise Agentique. Cet essai exhaustif synthétise l'architecture, la gouvernance et la trajectoire de cette transformation fondamentale, telle que détaillée dans le cadriciel proposé.</w:t>
      </w:r>
    </w:p>
    <w:p w14:paraId="53C086D3" w14:textId="77777777" w:rsidR="00A675E4" w:rsidRPr="00A675E4" w:rsidRDefault="00A675E4" w:rsidP="00A675E4">
      <w:pPr>
        <w:jc w:val="both"/>
        <w:rPr>
          <w:b/>
          <w:bCs/>
        </w:rPr>
      </w:pPr>
      <w:r w:rsidRPr="00A675E4">
        <w:rPr>
          <w:b/>
          <w:bCs/>
        </w:rPr>
        <w:t>Partie I : Le Diagnostic et les Fondations Conceptuelles</w:t>
      </w:r>
    </w:p>
    <w:p w14:paraId="1C012A8B" w14:textId="77777777" w:rsidR="00A675E4" w:rsidRPr="00A675E4" w:rsidRDefault="00A675E4" w:rsidP="00A675E4">
      <w:pPr>
        <w:jc w:val="both"/>
      </w:pPr>
      <w:r w:rsidRPr="00A675E4">
        <w:t>La transformation débute par un diagnostic lucide. La crise actuelle d'intégration systémique n'est pas conjoncturelle mais structurelle. L'hétérogénéité des systèmes – des plateformes héritées aux solutions SaaS en passant par les infrastructures industrielles (TO) – crée une friction opérationnelle majeure. Les approches traditionnelles, telles que les bus de services d'entreprise (ESB) ou les intégrations point à point, aggravent le problème en créant des architectures rigides, difficiles à maintenir et impossibles à faire évoluer rapidement. Le coût de cette non-interopérabilité n'est pas seulement financier ; il se mesure en perte d'agilité et en incapacité à saisir les opportunités numériques.</w:t>
      </w:r>
    </w:p>
    <w:p w14:paraId="73C9C5EC" w14:textId="77777777" w:rsidR="00A675E4" w:rsidRPr="00A675E4" w:rsidRDefault="00A675E4" w:rsidP="00A675E4">
      <w:pPr>
        <w:jc w:val="both"/>
      </w:pPr>
      <w:r w:rsidRPr="00A675E4">
        <w:t>Pour surmonter cette impasse, il est impératif de redéfinir les fondations conceptuelles. La distinction entre intégration (couplage fort, vision unifiée) et interopérabilité (couplage lâche, respect de l'autonomie) est fondamentale. L'interopérabilité doit être abordée de manière holistique, à travers ses multiples dimensions : technique (la connexion), syntaxique (le format), sémantique (le sens), organisationnelle (les processus) et légale (la gouvernance).</w:t>
      </w:r>
    </w:p>
    <w:p w14:paraId="1EBAEE1D" w14:textId="77777777" w:rsidR="00A675E4" w:rsidRPr="00A675E4" w:rsidRDefault="00A675E4" w:rsidP="00A675E4">
      <w:pPr>
        <w:jc w:val="both"/>
      </w:pPr>
      <w:r w:rsidRPr="00A675E4">
        <w:t xml:space="preserve">L'ouvrage s'appuie sur des cadres de référence établis, mais met particulièrement l'accent sur le </w:t>
      </w:r>
      <w:r w:rsidRPr="00A675E4">
        <w:rPr>
          <w:i/>
          <w:iCs/>
        </w:rPr>
        <w:t xml:space="preserve">Levels of </w:t>
      </w:r>
      <w:proofErr w:type="spellStart"/>
      <w:r w:rsidRPr="00A675E4">
        <w:rPr>
          <w:i/>
          <w:iCs/>
        </w:rPr>
        <w:t>Conceptual</w:t>
      </w:r>
      <w:proofErr w:type="spellEnd"/>
      <w:r w:rsidRPr="00A675E4">
        <w:rPr>
          <w:i/>
          <w:iCs/>
        </w:rPr>
        <w:t xml:space="preserve"> </w:t>
      </w:r>
      <w:proofErr w:type="spellStart"/>
      <w:r w:rsidRPr="00A675E4">
        <w:rPr>
          <w:i/>
          <w:iCs/>
        </w:rPr>
        <w:t>Interoperability</w:t>
      </w:r>
      <w:proofErr w:type="spellEnd"/>
      <w:r w:rsidRPr="00A675E4">
        <w:rPr>
          <w:i/>
          <w:iCs/>
        </w:rPr>
        <w:t xml:space="preserve"> Model</w:t>
      </w:r>
      <w:r w:rsidRPr="00A675E4">
        <w:t xml:space="preserve"> (LCIM). Le LCIM sert de boussole, illustrant la progression nécessaire depuis la simple connectivité technique jusqu'à l'interopérabilité conceptuelle – le partage d'une vision du monde commune entre systèmes. C'est cette ascension qui prépare le terrain pour le pivot cognitif.</w:t>
      </w:r>
    </w:p>
    <w:p w14:paraId="044DA049" w14:textId="77777777" w:rsidR="00A675E4" w:rsidRPr="00A675E4" w:rsidRDefault="00A675E4" w:rsidP="00A675E4">
      <w:pPr>
        <w:jc w:val="both"/>
        <w:rPr>
          <w:b/>
          <w:bCs/>
        </w:rPr>
      </w:pPr>
      <w:r w:rsidRPr="00A675E4">
        <w:rPr>
          <w:b/>
          <w:bCs/>
        </w:rPr>
        <w:t>Partie II : Le Système Nerveux Numérique : Architecture Hybride et Contrats de Données</w:t>
      </w:r>
    </w:p>
    <w:p w14:paraId="310ACA84" w14:textId="77777777" w:rsidR="00A675E4" w:rsidRPr="00A675E4" w:rsidRDefault="00A675E4" w:rsidP="00A675E4">
      <w:pPr>
        <w:jc w:val="both"/>
      </w:pPr>
      <w:r w:rsidRPr="00A675E4">
        <w:t>La résolution de la crise d'intégration exige une nouvelle infrastructure, conçue non pas pour centraliser le contrôle, mais pour faciliter la communication fluide et résiliente. Cette infrastructure est le « Système Nerveux Numérique », fondé sur une architecture hybride bimodale.</w:t>
      </w:r>
    </w:p>
    <w:p w14:paraId="0607F410" w14:textId="77777777" w:rsidR="00A675E4" w:rsidRPr="00A675E4" w:rsidRDefault="00A675E4" w:rsidP="00A675E4">
      <w:pPr>
        <w:jc w:val="both"/>
      </w:pPr>
      <w:r w:rsidRPr="00A675E4">
        <w:t xml:space="preserve">Cette architecture repose sur la symbiose de deux paradigmes. D'une part, l'écosystème des API (Interfaces de Programmation d'Application) standardise les interactions synchrones. En adoptant une stratégie « API-as-a-Product » et en utilisant des protocoles modernes (REST, </w:t>
      </w:r>
      <w:proofErr w:type="spellStart"/>
      <w:r w:rsidRPr="00A675E4">
        <w:t>gRPC</w:t>
      </w:r>
      <w:proofErr w:type="spellEnd"/>
      <w:r w:rsidRPr="00A675E4">
        <w:t xml:space="preserve">, </w:t>
      </w:r>
      <w:proofErr w:type="spellStart"/>
      <w:r w:rsidRPr="00A675E4">
        <w:t>GraphQL</w:t>
      </w:r>
      <w:proofErr w:type="spellEnd"/>
      <w:r w:rsidRPr="00A675E4">
        <w:t xml:space="preserve">), les capacités métier sont exposées de manière composable et gouvernée. D'autre part, l'Architecture Orientée Événements (EDA) constitue la colonne vertébrale réactive de l'entreprise. Basée sur des technologies de </w:t>
      </w:r>
      <w:r w:rsidRPr="00A675E4">
        <w:rPr>
          <w:i/>
          <w:iCs/>
        </w:rPr>
        <w:t>streaming</w:t>
      </w:r>
      <w:r w:rsidRPr="00A675E4">
        <w:t xml:space="preserve"> de données (comme Kafka), l'EDA permet une communication asynchrone, assurant le découplage radical des systèmes et une conscience situationnelle en temps réel. L'évolution vers un Maillage d'Événements (</w:t>
      </w:r>
      <w:proofErr w:type="spellStart"/>
      <w:r w:rsidRPr="00A675E4">
        <w:rPr>
          <w:i/>
          <w:iCs/>
        </w:rPr>
        <w:t>Event</w:t>
      </w:r>
      <w:proofErr w:type="spellEnd"/>
      <w:r w:rsidRPr="00A675E4">
        <w:rPr>
          <w:i/>
          <w:iCs/>
        </w:rPr>
        <w:t xml:space="preserve"> </w:t>
      </w:r>
      <w:proofErr w:type="spellStart"/>
      <w:r w:rsidRPr="00A675E4">
        <w:rPr>
          <w:i/>
          <w:iCs/>
        </w:rPr>
        <w:t>Mesh</w:t>
      </w:r>
      <w:proofErr w:type="spellEnd"/>
      <w:r w:rsidRPr="00A675E4">
        <w:t>) permet de fédérer cette réactivité à l'échelle de l'organisation.</w:t>
      </w:r>
    </w:p>
    <w:p w14:paraId="7A2AAF93" w14:textId="77777777" w:rsidR="00A675E4" w:rsidRPr="00A675E4" w:rsidRDefault="00A675E4" w:rsidP="00A675E4">
      <w:pPr>
        <w:jc w:val="both"/>
      </w:pPr>
      <w:r w:rsidRPr="00A675E4">
        <w:lastRenderedPageBreak/>
        <w:t>Cependant, la connectivité seule ne garantit pas la fiabilité. L'innovation cruciale pour maîtriser cette architecture distribuée réside dans les Contrats de Données (</w:t>
      </w:r>
      <w:r w:rsidRPr="00A675E4">
        <w:rPr>
          <w:i/>
          <w:iCs/>
        </w:rPr>
        <w:t xml:space="preserve">Data </w:t>
      </w:r>
      <w:proofErr w:type="spellStart"/>
      <w:r w:rsidRPr="00A675E4">
        <w:rPr>
          <w:i/>
          <w:iCs/>
        </w:rPr>
        <w:t>Contracts</w:t>
      </w:r>
      <w:proofErr w:type="spellEnd"/>
      <w:r w:rsidRPr="00A675E4">
        <w:t xml:space="preserve">). Ces contrats formalisent les accords entre producteurs et consommateurs de données (via API ou événements), spécifiant les schémas, la sémantique et les niveaux de service (SLA). Ils sont le pilier de la confiance et de la gouvernance, notamment dans des paradigmes décentralisés comme le </w:t>
      </w:r>
      <w:r w:rsidRPr="00A675E4">
        <w:rPr>
          <w:i/>
          <w:iCs/>
        </w:rPr>
        <w:t xml:space="preserve">Data </w:t>
      </w:r>
      <w:proofErr w:type="spellStart"/>
      <w:r w:rsidRPr="00A675E4">
        <w:rPr>
          <w:i/>
          <w:iCs/>
        </w:rPr>
        <w:t>Mesh</w:t>
      </w:r>
      <w:proofErr w:type="spellEnd"/>
      <w:r w:rsidRPr="00A675E4">
        <w:t>.</w:t>
      </w:r>
    </w:p>
    <w:p w14:paraId="529E8938" w14:textId="762783C0" w:rsidR="00A675E4" w:rsidRPr="00A675E4" w:rsidRDefault="00A675E4" w:rsidP="00A675E4">
      <w:pPr>
        <w:jc w:val="both"/>
      </w:pPr>
      <w:r w:rsidRPr="00A675E4">
        <w:t>L'implémentation de ce système nerveux s'appuie sur des infrastructures infonuagiques natives (</w:t>
      </w:r>
      <w:proofErr w:type="spellStart"/>
      <w:r w:rsidRPr="00A675E4">
        <w:t>Kubernetes</w:t>
      </w:r>
      <w:proofErr w:type="spellEnd"/>
      <w:r w:rsidRPr="00A675E4">
        <w:t xml:space="preserve">, </w:t>
      </w:r>
      <w:r w:rsidRPr="00A675E4">
        <w:rPr>
          <w:i/>
          <w:iCs/>
        </w:rPr>
        <w:t xml:space="preserve">Service </w:t>
      </w:r>
      <w:proofErr w:type="spellStart"/>
      <w:r w:rsidRPr="00A675E4">
        <w:rPr>
          <w:i/>
          <w:iCs/>
        </w:rPr>
        <w:t>Mesh</w:t>
      </w:r>
      <w:proofErr w:type="spellEnd"/>
      <w:r w:rsidRPr="00A675E4">
        <w:t>) et exige une observabilité unifiée (</w:t>
      </w:r>
      <w:proofErr w:type="spellStart"/>
      <w:r w:rsidRPr="00A675E4">
        <w:t>OpenTelemetry</w:t>
      </w:r>
      <w:proofErr w:type="spellEnd"/>
      <w:r w:rsidRPr="00A675E4">
        <w:t>) pour maîtriser la complexité opérationnelle. Les études de cas de géants comme Netflix, Uber et Amazon démontrent la puissance de ces architectures pour atteindre une scalabilité et une résilience extrême.</w:t>
      </w:r>
    </w:p>
    <w:p w14:paraId="27031C10" w14:textId="77777777" w:rsidR="00A675E4" w:rsidRPr="00A675E4" w:rsidRDefault="00A675E4" w:rsidP="00A675E4">
      <w:pPr>
        <w:jc w:val="both"/>
        <w:rPr>
          <w:b/>
          <w:bCs/>
        </w:rPr>
      </w:pPr>
      <w:r w:rsidRPr="00A675E4">
        <w:rPr>
          <w:b/>
          <w:bCs/>
        </w:rPr>
        <w:t>Partie III : Le Pivot Cognitif : De la Sémantique à l'Intention</w:t>
      </w:r>
    </w:p>
    <w:p w14:paraId="3D5848CF" w14:textId="77777777" w:rsidR="00A675E4" w:rsidRPr="00A675E4" w:rsidRDefault="00A675E4" w:rsidP="00A675E4">
      <w:pPr>
        <w:jc w:val="both"/>
      </w:pPr>
      <w:r w:rsidRPr="00A675E4">
        <w:t>Une fois le système nerveux en place, l'étape suivante consiste à y infuser l'intelligence. C'est le pivot cognitif. L'interopérabilité sémantique traditionnelle, basée sur des ontologies rigides et des modèles de données canoniques, montre ses limites face à la dynamique et à l'ambiguïté du monde réel. Les systèmes doivent non seulement comprendre la définition des données, mais aussi le contexte et l'intention derrière leur échange.</w:t>
      </w:r>
    </w:p>
    <w:p w14:paraId="7EEE1379" w14:textId="77777777" w:rsidR="00A675E4" w:rsidRPr="00A675E4" w:rsidRDefault="00A675E4" w:rsidP="00A675E4">
      <w:pPr>
        <w:jc w:val="both"/>
      </w:pPr>
      <w:r w:rsidRPr="00A675E4">
        <w:t>L'intelligence artificielle agit ici comme un catalyseur. La convergence de l'IA et de l'EDA permet une analyse et une action en temps réel sur les flux d'événements. Plus fondamentalement, les grands modèles de langage (LLM/SLM) peuvent agir comme des médiateurs cognitifs, capables d'interpréter le contexte, de résoudre les ambiguïtés sémantiques et d'adapter dynamiquement les interactions.</w:t>
      </w:r>
    </w:p>
    <w:p w14:paraId="0E6E06D7" w14:textId="77777777" w:rsidR="00A675E4" w:rsidRPr="00A675E4" w:rsidRDefault="00A675E4" w:rsidP="00A675E4">
      <w:pPr>
        <w:jc w:val="both"/>
      </w:pPr>
      <w:r w:rsidRPr="00A675E4">
        <w:t xml:space="preserve">Cela définit l'Interopérabilité </w:t>
      </w:r>
      <w:proofErr w:type="spellStart"/>
      <w:r w:rsidRPr="00A675E4">
        <w:t>Cognitivo</w:t>
      </w:r>
      <w:proofErr w:type="spellEnd"/>
      <w:r w:rsidRPr="00A675E4">
        <w:t>-Adaptative : la capacité des systèmes à collaborer non pas sur la base de règles prédéfinies, mais sur la base d'une compréhension partagée des intentions et d'une adaptation continue au contexte. Le Jumeau Numérique Cognitif en est une manifestation, offrant une représentation dynamique et intelligente des actifs et processus de l'entreprise.</w:t>
      </w:r>
    </w:p>
    <w:p w14:paraId="2E091F94" w14:textId="77777777" w:rsidR="00A675E4" w:rsidRPr="00A675E4" w:rsidRDefault="00A675E4" w:rsidP="00A675E4">
      <w:pPr>
        <w:jc w:val="both"/>
        <w:rPr>
          <w:b/>
          <w:bCs/>
        </w:rPr>
      </w:pPr>
      <w:r w:rsidRPr="00A675E4">
        <w:rPr>
          <w:b/>
          <w:bCs/>
        </w:rPr>
        <w:t>Partie IV : Le Paradigme de l'Entreprise Agentique</w:t>
      </w:r>
    </w:p>
    <w:p w14:paraId="2F0D3075" w14:textId="77777777" w:rsidR="00A675E4" w:rsidRPr="00A675E4" w:rsidRDefault="00A675E4" w:rsidP="00A675E4">
      <w:pPr>
        <w:jc w:val="both"/>
      </w:pPr>
      <w:r w:rsidRPr="00A675E4">
        <w:t>L'interopérabilité cognitive fait émerger un nouveau modèle organisationnel : l'Entreprise Agentique. Le changement de paradigme est profond : l'IA passe du statut d'outil d'assistance (IA générative) à celui d'acteur autonome (IA agentique). L'agent cognitif – doté de capacités de perception, de raisonnement, de mémoire et d'action – devient la nouvelle unité de travail numérique.</w:t>
      </w:r>
    </w:p>
    <w:p w14:paraId="2808BB1E" w14:textId="77777777" w:rsidR="00A675E4" w:rsidRPr="00A675E4" w:rsidRDefault="00A675E4" w:rsidP="00A675E4">
      <w:pPr>
        <w:jc w:val="both"/>
      </w:pPr>
      <w:r w:rsidRPr="00A675E4">
        <w:t>L'architecture de cette entreprise n'est plus une hiérarchie de systèmes, mais un « Maillage Agentique » (</w:t>
      </w:r>
      <w:proofErr w:type="spellStart"/>
      <w:r w:rsidRPr="00A675E4">
        <w:rPr>
          <w:i/>
          <w:iCs/>
        </w:rPr>
        <w:t>Agentic</w:t>
      </w:r>
      <w:proofErr w:type="spellEnd"/>
      <w:r w:rsidRPr="00A675E4">
        <w:rPr>
          <w:i/>
          <w:iCs/>
        </w:rPr>
        <w:t xml:space="preserve"> </w:t>
      </w:r>
      <w:proofErr w:type="spellStart"/>
      <w:r w:rsidRPr="00A675E4">
        <w:rPr>
          <w:i/>
          <w:iCs/>
        </w:rPr>
        <w:t>Mesh</w:t>
      </w:r>
      <w:proofErr w:type="spellEnd"/>
      <w:r w:rsidRPr="00A675E4">
        <w:t>). Il s'agit d'un écosystème décentralisé de micro-agents spécialisés qui collaborent dynamiquement pour accomplir des objectifs complexes. Ce maillage transcende le modèle des microservices en y ajoutant une couche d'autonomie et d'intelligence proactive.</w:t>
      </w:r>
    </w:p>
    <w:p w14:paraId="71FF33BB" w14:textId="77777777" w:rsidR="00A675E4" w:rsidRPr="00A675E4" w:rsidRDefault="00A675E4" w:rsidP="00A675E4">
      <w:pPr>
        <w:jc w:val="both"/>
      </w:pPr>
      <w:r w:rsidRPr="00A675E4">
        <w:t xml:space="preserve">L'ingénierie de ces systèmes cognitifs repose sur de nouvelles disciplines. L'Ingénierie du Contexte (combinant </w:t>
      </w:r>
      <w:r w:rsidRPr="00A675E4">
        <w:rPr>
          <w:i/>
          <w:iCs/>
        </w:rPr>
        <w:t>Prompt Engineering</w:t>
      </w:r>
      <w:r w:rsidRPr="00A675E4">
        <w:t xml:space="preserve"> avancé, RAG et utilisation d'outils) est essentielle pour garantir la fiabilité et la pertinence des actions des agents. La modélisation des workflows cognitifs et l'utilisation de protocoles d'interaction spécialisés (comme A2A pour la collaboration et MCP pour l'accès aux outils) sont nécessaires pour structurer ces nouvelles formes de travail, soutenues par des cadriciels agentiques émergents (</w:t>
      </w:r>
      <w:proofErr w:type="spellStart"/>
      <w:r w:rsidRPr="00A675E4">
        <w:t>AutoGen</w:t>
      </w:r>
      <w:proofErr w:type="spellEnd"/>
      <w:r w:rsidRPr="00A675E4">
        <w:t xml:space="preserve">, </w:t>
      </w:r>
      <w:proofErr w:type="spellStart"/>
      <w:r w:rsidRPr="00A675E4">
        <w:t>CrewAI</w:t>
      </w:r>
      <w:proofErr w:type="spellEnd"/>
      <w:r w:rsidRPr="00A675E4">
        <w:t>).</w:t>
      </w:r>
    </w:p>
    <w:p w14:paraId="667071DC" w14:textId="77777777" w:rsidR="00A675E4" w:rsidRPr="00A675E4" w:rsidRDefault="00A675E4" w:rsidP="00A675E4">
      <w:pPr>
        <w:jc w:val="both"/>
      </w:pPr>
      <w:r w:rsidRPr="00A675E4">
        <w:t>Ce paradigme redéfinit également le modèle opérationnel et le rôle de l'humain. Le leadership évolue vers une « architecture d'intentions », et la collaboration devient une symbiose humain-agent, où l'humain se positionne stratégiquement « sur la boucle » (</w:t>
      </w:r>
      <w:r w:rsidRPr="00A675E4">
        <w:rPr>
          <w:i/>
          <w:iCs/>
        </w:rPr>
        <w:t>Human-on-the-Loop</w:t>
      </w:r>
      <w:r w:rsidRPr="00A675E4">
        <w:t>) pour superviser, orienter et gérer les exceptions.</w:t>
      </w:r>
    </w:p>
    <w:p w14:paraId="02CCF88A" w14:textId="77777777" w:rsidR="00A675E4" w:rsidRPr="00A675E4" w:rsidRDefault="00A675E4" w:rsidP="00A675E4">
      <w:pPr>
        <w:jc w:val="both"/>
        <w:rPr>
          <w:b/>
          <w:bCs/>
        </w:rPr>
      </w:pPr>
      <w:r w:rsidRPr="00A675E4">
        <w:rPr>
          <w:b/>
          <w:bCs/>
        </w:rPr>
        <w:t>Partie V : Gouverner l'Autonomie : Alignement, Sécurité et Opérations (</w:t>
      </w:r>
      <w:proofErr w:type="spellStart"/>
      <w:r w:rsidRPr="00A675E4">
        <w:rPr>
          <w:b/>
          <w:bCs/>
        </w:rPr>
        <w:t>AgentOps</w:t>
      </w:r>
      <w:proofErr w:type="spellEnd"/>
      <w:r w:rsidRPr="00A675E4">
        <w:rPr>
          <w:b/>
          <w:bCs/>
        </w:rPr>
        <w:t>)</w:t>
      </w:r>
    </w:p>
    <w:p w14:paraId="0C678407" w14:textId="77777777" w:rsidR="00A675E4" w:rsidRPr="00A675E4" w:rsidRDefault="00A675E4" w:rsidP="00A675E4">
      <w:pPr>
        <w:jc w:val="both"/>
      </w:pPr>
      <w:r w:rsidRPr="00A675E4">
        <w:t>L'autonomie croissante des agents introduit des risques systémiques majeurs. La performance sans contrôle est une menace. Une nouvelle forme de gouvernance est donc impérative, centrée sur l'alignement de l'IA (</w:t>
      </w:r>
      <w:r w:rsidRPr="00A675E4">
        <w:rPr>
          <w:i/>
          <w:iCs/>
        </w:rPr>
        <w:t xml:space="preserve">AI </w:t>
      </w:r>
      <w:proofErr w:type="spellStart"/>
      <w:r w:rsidRPr="00A675E4">
        <w:rPr>
          <w:i/>
          <w:iCs/>
        </w:rPr>
        <w:t>Alignment</w:t>
      </w:r>
      <w:proofErr w:type="spellEnd"/>
      <w:r w:rsidRPr="00A675E4">
        <w:t>) – garantir que les actions des agents restent conformes aux intentions stratégiques et éthiques de l'organisation.</w:t>
      </w:r>
    </w:p>
    <w:p w14:paraId="7A40B55E" w14:textId="77777777" w:rsidR="00A675E4" w:rsidRPr="00A675E4" w:rsidRDefault="00A675E4" w:rsidP="00A675E4">
      <w:pPr>
        <w:jc w:val="both"/>
      </w:pPr>
      <w:r w:rsidRPr="00A675E4">
        <w:lastRenderedPageBreak/>
        <w:t>Le cadre proposé est la Gouvernance Constitutionnelle. Inspirée par des concepts comme l'</w:t>
      </w:r>
      <w:r w:rsidRPr="00A675E4">
        <w:rPr>
          <w:i/>
          <w:iCs/>
        </w:rPr>
        <w:t>IA Constitutionnelle</w:t>
      </w:r>
      <w:r w:rsidRPr="00A675E4">
        <w:t>, elle repose sur un artefact central : la Constitution Agentique (ou Charte d'Agent). Ce contrat formel, lisible par la machine, encode les objectifs, les limites, les règles éthiques et les privilèges de chaque agent. C'est le mécanisme d'alignement fondamental.</w:t>
      </w:r>
    </w:p>
    <w:p w14:paraId="1F7ACA28" w14:textId="77777777" w:rsidR="00A675E4" w:rsidRPr="00A675E4" w:rsidRDefault="00A675E4" w:rsidP="00A675E4">
      <w:pPr>
        <w:jc w:val="both"/>
      </w:pPr>
      <w:r w:rsidRPr="00A675E4">
        <w:t>L'opérationnalisation de cette gouvernance relève d'une nouvelle discipline : l'</w:t>
      </w:r>
      <w:proofErr w:type="spellStart"/>
      <w:r w:rsidRPr="00A675E4">
        <w:t>AgentOps</w:t>
      </w:r>
      <w:proofErr w:type="spellEnd"/>
      <w:r w:rsidRPr="00A675E4">
        <w:t xml:space="preserve">. Distincte de </w:t>
      </w:r>
      <w:proofErr w:type="spellStart"/>
      <w:r w:rsidRPr="00A675E4">
        <w:t>MLOps</w:t>
      </w:r>
      <w:proofErr w:type="spellEnd"/>
      <w:r w:rsidRPr="00A675E4">
        <w:t>, l'</w:t>
      </w:r>
      <w:proofErr w:type="spellStart"/>
      <w:r w:rsidRPr="00A675E4">
        <w:t>AgentOps</w:t>
      </w:r>
      <w:proofErr w:type="spellEnd"/>
      <w:r w:rsidRPr="00A675E4">
        <w:t xml:space="preserve"> gère le cycle de vie complet des agents autonomes (ADLC). Elle met l'accent sur l'Observabilité Comportementale – superviser non seulement la performance technique, mais aussi l'alignement sur l'intention via des techniques avancées comme les </w:t>
      </w:r>
      <w:r w:rsidRPr="00A675E4">
        <w:rPr>
          <w:i/>
          <w:iCs/>
        </w:rPr>
        <w:t>Session Replays</w:t>
      </w:r>
      <w:r w:rsidRPr="00A675E4">
        <w:t xml:space="preserve"> et le </w:t>
      </w:r>
      <w:r w:rsidRPr="00A675E4">
        <w:rPr>
          <w:i/>
          <w:iCs/>
        </w:rPr>
        <w:t xml:space="preserve">Time </w:t>
      </w:r>
      <w:proofErr w:type="spellStart"/>
      <w:r w:rsidRPr="00A675E4">
        <w:rPr>
          <w:i/>
          <w:iCs/>
        </w:rPr>
        <w:t>Travel</w:t>
      </w:r>
      <w:proofErr w:type="spellEnd"/>
      <w:r w:rsidRPr="00A675E4">
        <w:rPr>
          <w:i/>
          <w:iCs/>
        </w:rPr>
        <w:t xml:space="preserve"> </w:t>
      </w:r>
      <w:proofErr w:type="spellStart"/>
      <w:r w:rsidRPr="00A675E4">
        <w:rPr>
          <w:i/>
          <w:iCs/>
        </w:rPr>
        <w:t>Debugging</w:t>
      </w:r>
      <w:proofErr w:type="spellEnd"/>
      <w:r w:rsidRPr="00A675E4">
        <w:t>. Elle intègre également la gestion des nouvelles menaces de sécurité spécifiques aux systèmes agentiques.</w:t>
      </w:r>
    </w:p>
    <w:p w14:paraId="44AA2431" w14:textId="77777777" w:rsidR="00A675E4" w:rsidRPr="00A675E4" w:rsidRDefault="00A675E4" w:rsidP="00A675E4">
      <w:pPr>
        <w:jc w:val="both"/>
      </w:pPr>
      <w:r w:rsidRPr="00A675E4">
        <w:t>Dans ce nouveau cadre, le rôle de l'architecte évolue radicalement. L'Architecte d'Intentions devient un acteur sociotechnique, responsable de la rédaction, de l'interprétation et de la maintenance de la Constitution Agentique. Pour assurer la supervision en temps réel, un nouveau rôle émerge : le Berger d'Intention (</w:t>
      </w:r>
      <w:r w:rsidRPr="00A675E4">
        <w:rPr>
          <w:i/>
          <w:iCs/>
        </w:rPr>
        <w:t>Intention Shepherd</w:t>
      </w:r>
      <w:r w:rsidRPr="00A675E4">
        <w:t>), qui utilise un Cockpit Cognitif pour surveiller le maillage agentique, détecter les dérives d'intention et intervenir via des mécanismes comme le « Disjoncteur Éthique ».</w:t>
      </w:r>
    </w:p>
    <w:p w14:paraId="4E3B4677" w14:textId="77777777" w:rsidR="00A675E4" w:rsidRPr="00A675E4" w:rsidRDefault="00A675E4" w:rsidP="00A675E4">
      <w:pPr>
        <w:jc w:val="both"/>
        <w:rPr>
          <w:b/>
          <w:bCs/>
        </w:rPr>
      </w:pPr>
      <w:r w:rsidRPr="00A675E4">
        <w:rPr>
          <w:b/>
          <w:bCs/>
        </w:rPr>
        <w:t>Partie VI : Stratégie de Transformation et Industrialisation</w:t>
      </w:r>
    </w:p>
    <w:p w14:paraId="530B14D4" w14:textId="77777777" w:rsidR="00A675E4" w:rsidRPr="00A675E4" w:rsidRDefault="00A675E4" w:rsidP="00A675E4">
      <w:pPr>
        <w:jc w:val="both"/>
      </w:pPr>
      <w:r w:rsidRPr="00A675E4">
        <w:t>La transition vers l'Entreprise Agentique est une transformation profonde qui doit être gérée stratégiquement. La monographie propose une feuille de route structurée, débutant par un diagnostic de maturité cognitive et progressant par phases : Fondation (construction du système nerveux), Expérimentation, Mise à l'échelle de l'autonomie, et Optimisation.</w:t>
      </w:r>
    </w:p>
    <w:p w14:paraId="6B2ADB6F" w14:textId="77777777" w:rsidR="00A675E4" w:rsidRPr="00A675E4" w:rsidRDefault="00A675E4" w:rsidP="00A675E4">
      <w:pPr>
        <w:jc w:val="both"/>
      </w:pPr>
      <w:r w:rsidRPr="00A675E4">
        <w:t>Un outil clé de cette transformation est la Gestion Stratégique du Portefeuille Applicatif (APM) Cognitive. L'APM doit évoluer pour évaluer les systèmes existants non seulement sur leur valeur technique, mais aussi sur leur « Maturité Cognitive » (potentiel d'</w:t>
      </w:r>
      <w:proofErr w:type="spellStart"/>
      <w:r w:rsidRPr="00A675E4">
        <w:t>agentification</w:t>
      </w:r>
      <w:proofErr w:type="spellEnd"/>
      <w:r w:rsidRPr="00A675E4">
        <w:t xml:space="preserve">) et leur « Capacité d'Adaptation ». Cette analyse permet d'appliquer des patrons de modernisation ciblés : Retrait des systèmes obsolètes, Encapsulation Agentique des systèmes hérités viables (utilisant le patron </w:t>
      </w:r>
      <w:proofErr w:type="spellStart"/>
      <w:r w:rsidRPr="00A675E4">
        <w:rPr>
          <w:i/>
          <w:iCs/>
        </w:rPr>
        <w:t>Strangler</w:t>
      </w:r>
      <w:proofErr w:type="spellEnd"/>
      <w:r w:rsidRPr="00A675E4">
        <w:rPr>
          <w:i/>
          <w:iCs/>
        </w:rPr>
        <w:t xml:space="preserve"> </w:t>
      </w:r>
      <w:proofErr w:type="spellStart"/>
      <w:r w:rsidRPr="00A675E4">
        <w:rPr>
          <w:i/>
          <w:iCs/>
        </w:rPr>
        <w:t>Fig</w:t>
      </w:r>
      <w:proofErr w:type="spellEnd"/>
      <w:r w:rsidRPr="00A675E4">
        <w:t xml:space="preserve"> cognitif), Enrichissement Cognitif des applications modernes, et Fédération des agents natifs.</w:t>
      </w:r>
    </w:p>
    <w:p w14:paraId="66312A08" w14:textId="77777777" w:rsidR="00A675E4" w:rsidRPr="00A675E4" w:rsidRDefault="00A675E4" w:rsidP="00A675E4">
      <w:pPr>
        <w:jc w:val="both"/>
      </w:pPr>
      <w:r w:rsidRPr="00A675E4">
        <w:t>L'industrialisation de cette transformation repose sur l'Ingénierie de Plateforme (</w:t>
      </w:r>
      <w:r w:rsidRPr="00A675E4">
        <w:rPr>
          <w:i/>
          <w:iCs/>
        </w:rPr>
        <w:t>Platform Engineering</w:t>
      </w:r>
      <w:r w:rsidRPr="00A675E4">
        <w:t>). La création de Plateformes Développeur Internes (IDP) dédiées à l'</w:t>
      </w:r>
      <w:proofErr w:type="spellStart"/>
      <w:r w:rsidRPr="00A675E4">
        <w:t>AgentOps</w:t>
      </w:r>
      <w:proofErr w:type="spellEnd"/>
      <w:r w:rsidRPr="00A675E4">
        <w:t xml:space="preserve"> est essentielle pour standardiser l'outillage, accélérer le développement des agents et intégrer la gouvernance constitutionnelle dès la conception (</w:t>
      </w:r>
      <w:r w:rsidRPr="00A675E4">
        <w:rPr>
          <w:i/>
          <w:iCs/>
        </w:rPr>
        <w:t>by design</w:t>
      </w:r>
      <w:r w:rsidRPr="00A675E4">
        <w:t>).</w:t>
      </w:r>
    </w:p>
    <w:p w14:paraId="072666BA" w14:textId="77777777" w:rsidR="00A675E4" w:rsidRPr="00A675E4" w:rsidRDefault="00A675E4" w:rsidP="00A675E4">
      <w:pPr>
        <w:jc w:val="both"/>
        <w:rPr>
          <w:b/>
          <w:bCs/>
        </w:rPr>
      </w:pPr>
      <w:r w:rsidRPr="00A675E4">
        <w:rPr>
          <w:b/>
          <w:bCs/>
        </w:rPr>
        <w:t>Partie VII : L'Horizon Cognitif : Économie, Risques et Avenir</w:t>
      </w:r>
    </w:p>
    <w:p w14:paraId="673F9DAC" w14:textId="77777777" w:rsidR="00A675E4" w:rsidRPr="00A675E4" w:rsidRDefault="00A675E4" w:rsidP="00A675E4">
      <w:pPr>
        <w:jc w:val="both"/>
      </w:pPr>
      <w:r w:rsidRPr="00A675E4">
        <w:t>L'adoption généralisée du modèle de l'Entreprise Agentique entraîne des conséquences macroéconomiques. Nous assistons à l'aube de l'Économie Cognitive. Les chaînes de valeur linéaires et rigides cèdent la place à des « Constellations de Valeur » dynamiques, où des fédérations d'agents appartenant à différentes organisations s'assemblent et se dissolvent pour saisir des opportunités de marché. Cette fluidité économique exige un nouveau cadre de régulation : la Diplomatie Algorithmique, basée sur des protocoles de négociation inter-agents et des contrats intelligents.</w:t>
      </w:r>
    </w:p>
    <w:p w14:paraId="0E90C0DB" w14:textId="77777777" w:rsidR="00A675E4" w:rsidRPr="00A675E4" w:rsidRDefault="00A675E4" w:rsidP="00A675E4">
      <w:pPr>
        <w:jc w:val="both"/>
      </w:pPr>
      <w:r w:rsidRPr="00A675E4">
        <w:t xml:space="preserve">Cependant, cette hyper-connectivité cognitive n'est pas sans danger. De nouveaux risques systémiques émergent : la Contagion Cognitive (propagation rapide des erreurs ou des biais à travers le réseau) et la Collusion Algorithmique (formation de cartels intelligents non supervisés). La gestion de ces risques et le défi du </w:t>
      </w:r>
      <w:proofErr w:type="spellStart"/>
      <w:r w:rsidRPr="00A675E4">
        <w:t>Superalignement</w:t>
      </w:r>
      <w:proofErr w:type="spellEnd"/>
      <w:r w:rsidRPr="00A675E4">
        <w:t xml:space="preserve"> (</w:t>
      </w:r>
      <w:proofErr w:type="spellStart"/>
      <w:r w:rsidRPr="00A675E4">
        <w:rPr>
          <w:i/>
          <w:iCs/>
        </w:rPr>
        <w:t>Superalignment</w:t>
      </w:r>
      <w:proofErr w:type="spellEnd"/>
      <w:r w:rsidRPr="00A675E4">
        <w:t>) à l'échelle sociétale deviennent des priorités absolues.</w:t>
      </w:r>
    </w:p>
    <w:p w14:paraId="62433E37" w14:textId="77777777" w:rsidR="00A675E4" w:rsidRPr="00A675E4" w:rsidRDefault="00A675E4" w:rsidP="00A675E4">
      <w:pPr>
        <w:jc w:val="both"/>
      </w:pPr>
      <w:r w:rsidRPr="00A675E4">
        <w:t xml:space="preserve">En prospective, la recherche explore des concepts tels que l'Agent Auto-Architecturant, capable de modifier sa propre structure, et la préparation à l'Intelligence Artificielle Générale (AGI) d'entreprise. La convergence de l'IA avec la robotique et </w:t>
      </w:r>
      <w:proofErr w:type="spellStart"/>
      <w:r w:rsidRPr="00A675E4">
        <w:t>l'IdO</w:t>
      </w:r>
      <w:proofErr w:type="spellEnd"/>
      <w:r w:rsidRPr="00A675E4">
        <w:t xml:space="preserve"> (</w:t>
      </w:r>
      <w:proofErr w:type="spellStart"/>
      <w:r w:rsidRPr="00A675E4">
        <w:rPr>
          <w:i/>
          <w:iCs/>
        </w:rPr>
        <w:t>Embodied</w:t>
      </w:r>
      <w:proofErr w:type="spellEnd"/>
      <w:r w:rsidRPr="00A675E4">
        <w:rPr>
          <w:i/>
          <w:iCs/>
        </w:rPr>
        <w:t xml:space="preserve"> AI</w:t>
      </w:r>
      <w:r w:rsidRPr="00A675E4">
        <w:t>) ouvre des perspectives encore plus transformatrices.</w:t>
      </w:r>
    </w:p>
    <w:p w14:paraId="48B6A7B6" w14:textId="77777777" w:rsidR="00A675E4" w:rsidRPr="00A675E4" w:rsidRDefault="00A675E4" w:rsidP="00A675E4">
      <w:pPr>
        <w:jc w:val="both"/>
        <w:rPr>
          <w:b/>
          <w:bCs/>
        </w:rPr>
      </w:pPr>
      <w:r w:rsidRPr="00A675E4">
        <w:rPr>
          <w:b/>
          <w:bCs/>
        </w:rPr>
        <w:t>Conclusion : L'Architecture comme Quête de Sagesse</w:t>
      </w:r>
    </w:p>
    <w:p w14:paraId="224CC1E4" w14:textId="77777777" w:rsidR="00A675E4" w:rsidRPr="00A675E4" w:rsidRDefault="00A675E4" w:rsidP="00A675E4">
      <w:pPr>
        <w:jc w:val="both"/>
      </w:pPr>
      <w:r w:rsidRPr="00A675E4">
        <w:lastRenderedPageBreak/>
        <w:t xml:space="preserve">La trajectoire décrite dans cette monographie – de la crise d'intégration technique à l'émergence d'une intelligence collective agentique – redéfinit fondamentalement la discipline de l'architecture des systèmes d'information. L'interopérabilité </w:t>
      </w:r>
      <w:proofErr w:type="spellStart"/>
      <w:r w:rsidRPr="00A675E4">
        <w:t>cognitivo</w:t>
      </w:r>
      <w:proofErr w:type="spellEnd"/>
      <w:r w:rsidRPr="00A675E4">
        <w:t>-adaptative n'est pas une simple évolution technologique ; c'est le fondement d'un nouveau paradigme organisationnel et économique.</w:t>
      </w:r>
    </w:p>
    <w:p w14:paraId="75B71A52" w14:textId="77777777" w:rsidR="00A675E4" w:rsidRPr="00A675E4" w:rsidRDefault="00A675E4" w:rsidP="00A675E4">
      <w:pPr>
        <w:jc w:val="both"/>
      </w:pPr>
      <w:r w:rsidRPr="00A675E4">
        <w:t>Dans l'Entreprise Agentique, l'architecture n'est plus seulement l'art de structurer des composants techniques. Elle devient l'art d'encoder l'intention, de cultiver l'intelligence distribuée et de gouverner l'autonomie. L'architecte, en tant que gardien de l'intention, assume un rôle éthique et politique crucial. En définitive, architecturer ces systèmes n'est pas seulement une quête d'efficacité, mais une quête de Conscience Augmentée et de Sagesse Collective, où la technologie est intentionnellement conçue pour servir un avenir souhaitable.</w:t>
      </w:r>
    </w:p>
    <w:p w14:paraId="0114EA5B" w14:textId="73F8926A" w:rsidR="00174599" w:rsidRDefault="004D3807" w:rsidP="004D3807">
      <w:pPr>
        <w:jc w:val="center"/>
      </w:pPr>
      <w:r w:rsidRPr="004D3807">
        <w:drawing>
          <wp:inline distT="0" distB="0" distL="0" distR="0" wp14:anchorId="60534B19" wp14:editId="1F7E6BC4">
            <wp:extent cx="3657600" cy="7153259"/>
            <wp:effectExtent l="0" t="0" r="0" b="0"/>
            <wp:docPr id="1389435003" name="Image 1"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35003" name="Image 1" descr="Une image contenant texte, capture d’écran, diagramme&#10;&#10;Le contenu généré par l’IA peut être incorrect."/>
                    <pic:cNvPicPr/>
                  </pic:nvPicPr>
                  <pic:blipFill>
                    <a:blip r:embed="rId4"/>
                    <a:stretch>
                      <a:fillRect/>
                    </a:stretch>
                  </pic:blipFill>
                  <pic:spPr>
                    <a:xfrm>
                      <a:off x="0" y="0"/>
                      <a:ext cx="3662384" cy="7162615"/>
                    </a:xfrm>
                    <a:prstGeom prst="rect">
                      <a:avLst/>
                    </a:prstGeom>
                  </pic:spPr>
                </pic:pic>
              </a:graphicData>
            </a:graphic>
          </wp:inline>
        </w:drawing>
      </w:r>
    </w:p>
    <w:sectPr w:rsidR="00174599" w:rsidSect="004C45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E4"/>
    <w:rsid w:val="00174599"/>
    <w:rsid w:val="001E4539"/>
    <w:rsid w:val="002859BF"/>
    <w:rsid w:val="004C4587"/>
    <w:rsid w:val="004D3807"/>
    <w:rsid w:val="00555723"/>
    <w:rsid w:val="00A675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40E1"/>
  <w15:chartTrackingRefBased/>
  <w15:docId w15:val="{13DF1133-1719-4646-B997-25E83413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7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7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75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75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75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75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75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75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75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75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75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75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75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75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75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75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75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75E4"/>
    <w:rPr>
      <w:rFonts w:eastAsiaTheme="majorEastAsia" w:cstheme="majorBidi"/>
      <w:color w:val="272727" w:themeColor="text1" w:themeTint="D8"/>
    </w:rPr>
  </w:style>
  <w:style w:type="paragraph" w:styleId="Titre">
    <w:name w:val="Title"/>
    <w:basedOn w:val="Normal"/>
    <w:next w:val="Normal"/>
    <w:link w:val="TitreCar"/>
    <w:uiPriority w:val="10"/>
    <w:qFormat/>
    <w:rsid w:val="00A67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75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75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75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75E4"/>
    <w:pPr>
      <w:spacing w:before="160"/>
      <w:jc w:val="center"/>
    </w:pPr>
    <w:rPr>
      <w:i/>
      <w:iCs/>
      <w:color w:val="404040" w:themeColor="text1" w:themeTint="BF"/>
    </w:rPr>
  </w:style>
  <w:style w:type="character" w:customStyle="1" w:styleId="CitationCar">
    <w:name w:val="Citation Car"/>
    <w:basedOn w:val="Policepardfaut"/>
    <w:link w:val="Citation"/>
    <w:uiPriority w:val="29"/>
    <w:rsid w:val="00A675E4"/>
    <w:rPr>
      <w:i/>
      <w:iCs/>
      <w:color w:val="404040" w:themeColor="text1" w:themeTint="BF"/>
    </w:rPr>
  </w:style>
  <w:style w:type="paragraph" w:styleId="Paragraphedeliste">
    <w:name w:val="List Paragraph"/>
    <w:basedOn w:val="Normal"/>
    <w:uiPriority w:val="34"/>
    <w:qFormat/>
    <w:rsid w:val="00A675E4"/>
    <w:pPr>
      <w:ind w:left="720"/>
      <w:contextualSpacing/>
    </w:pPr>
  </w:style>
  <w:style w:type="character" w:styleId="Accentuationintense">
    <w:name w:val="Intense Emphasis"/>
    <w:basedOn w:val="Policepardfaut"/>
    <w:uiPriority w:val="21"/>
    <w:qFormat/>
    <w:rsid w:val="00A675E4"/>
    <w:rPr>
      <w:i/>
      <w:iCs/>
      <w:color w:val="0F4761" w:themeColor="accent1" w:themeShade="BF"/>
    </w:rPr>
  </w:style>
  <w:style w:type="paragraph" w:styleId="Citationintense">
    <w:name w:val="Intense Quote"/>
    <w:basedOn w:val="Normal"/>
    <w:next w:val="Normal"/>
    <w:link w:val="CitationintenseCar"/>
    <w:uiPriority w:val="30"/>
    <w:qFormat/>
    <w:rsid w:val="00A67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75E4"/>
    <w:rPr>
      <w:i/>
      <w:iCs/>
      <w:color w:val="0F4761" w:themeColor="accent1" w:themeShade="BF"/>
    </w:rPr>
  </w:style>
  <w:style w:type="character" w:styleId="Rfrenceintense">
    <w:name w:val="Intense Reference"/>
    <w:basedOn w:val="Policepardfaut"/>
    <w:uiPriority w:val="32"/>
    <w:qFormat/>
    <w:rsid w:val="00A675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2101</Words>
  <Characters>11556</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3</cp:revision>
  <dcterms:created xsi:type="dcterms:W3CDTF">2025-08-06T00:51:00Z</dcterms:created>
  <dcterms:modified xsi:type="dcterms:W3CDTF">2025-08-06T01:12:00Z</dcterms:modified>
</cp:coreProperties>
</file>