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48"/>
          <w:szCs w:val="48"/>
        </w:rPr>
        <w:t xml:space="preserve">ANALYSE DU CORPUS</w:t>
      </w:r>
    </w:p>
    <w:p>
      <w:pPr>
        <w:spacing w:after="200"/>
        <w:jc w:val="center"/>
      </w:pPr>
      <w:r>
        <w:rPr>
          <w:rFonts w:ascii="Arial" w:cs="Arial" w:eastAsia="Arial" w:hAnsi="Arial"/>
          <w:b/>
          <w:bCs/>
          <w:color w:val="2E75B6"/>
          <w:sz w:val="44"/>
          <w:szCs w:val="44"/>
        </w:rPr>
        <w:t xml:space="preserve">CORPUSINFORMATIQUE</w:t>
      </w:r>
    </w:p>
    <w:p>
      <w:pPr>
        <w:pBdr>
          <w:top w:val="single" w:color="2E75B6" w:sz="6" w:space="1"/>
        </w:pBdr>
        <w:spacing w:before="600"/>
        <w:jc w:val="center"/>
      </w:pPr>
    </w:p>
    <w:p>
      <w:pPr>
        <w:spacing w:before="400"/>
        <w:jc w:val="center"/>
      </w:pPr>
      <w:r>
        <w:rPr>
          <w:rFonts w:ascii="Arial" w:cs="Arial" w:eastAsia="Arial" w:hAnsi="Arial"/>
          <w:i/>
          <w:iCs/>
          <w:color w:val="666666"/>
          <w:sz w:val="24"/>
          <w:szCs w:val="24"/>
        </w:rPr>
        <w:t xml:space="preserve">Diagnostic structurel, évaluation de contenu</w:t>
      </w:r>
    </w:p>
    <w:p>
      <w:pPr>
        <w:jc w:val="center"/>
      </w:pPr>
      <w:r>
        <w:rPr>
          <w:rFonts w:ascii="Arial" w:cs="Arial" w:eastAsia="Arial" w:hAnsi="Arial"/>
          <w:i/>
          <w:iCs/>
          <w:color w:val="666666"/>
          <w:sz w:val="24"/>
          <w:szCs w:val="24"/>
        </w:rPr>
        <w:t xml:space="preserve">et recommandations d’amélioration</w:t>
      </w:r>
    </w:p>
    <w:p>
      <w:pPr>
        <w:spacing w:before="1200"/>
        <w:jc w:val="center"/>
      </w:pPr>
      <w:r>
        <w:rPr>
          <w:rFonts w:ascii="Arial" w:cs="Arial" w:eastAsia="Arial" w:hAnsi="Arial"/>
          <w:color w:val="333333"/>
          <w:sz w:val="22"/>
          <w:szCs w:val="22"/>
        </w:rPr>
        <w:t xml:space="preserve">Préparé pour André-Guy Bruneau M.Sc. IT</w:t>
      </w:r>
    </w:p>
    <w:p>
      <w:pPr>
        <w:spacing w:before="200"/>
        <w:jc w:val="center"/>
      </w:pPr>
      <w:r>
        <w:rPr>
          <w:rFonts w:ascii="Arial" w:cs="Arial" w:eastAsia="Arial" w:hAnsi="Arial"/>
          <w:color w:val="333333"/>
          <w:sz w:val="22"/>
          <w:szCs w:val="22"/>
        </w:rPr>
        <w:t xml:space="preserve">Février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Synthèse exécutive</w:t>
      </w:r>
    </w:p>
    <w:p>
      <w:pPr>
        <w:spacing w:after="120"/>
        <w:jc w:val="both"/>
      </w:pPr>
      <w:r>
        <w:rPr>
          <w:rFonts w:ascii="Arial" w:cs="Arial" w:eastAsia="Arial" w:hAnsi="Arial"/>
          <w:sz w:val="20"/>
          <w:szCs w:val="20"/>
        </w:rPr>
        <w:t xml:space="preserve">Le CorpusInformatique constitue un ouvrage de référence francophone ambitieux couvrant les fondements de l’informatique, l’intégration d’entreprise et l’architecture agentique. L’analyse porte sur 273 713 lignes de Markdown réparties en 3 sections principales, 88 fichiers et environ 4,6 Mo de contenu pur (hors redondances).</w:t>
      </w:r>
    </w:p>
    <w:p>
      <w:pPr>
        <w:spacing w:after="120"/>
        <w:jc w:val="both"/>
      </w:pPr>
      <w:r>
        <w:rPr>
          <w:rFonts w:ascii="Arial" w:cs="Arial" w:eastAsia="Arial" w:hAnsi="Arial"/>
          <w:sz w:val="20"/>
          <w:szCs w:val="20"/>
        </w:rPr>
        <w:t xml:space="preserve">La qualité rédactionnelle est remarquable : ton académique rigoureux, profondeur technique élevée, perspective historique enrichissante. Cependant, l’analyse révèle cinq axes d’amélioration majeurs : une redondance documentaire massive (71 000 lignes dupliquées), des incohérences de conventions de nommage, un déséquilibre de couverture entre volumes, l’absence quasi totale de diagrammes visuels, et un manque de code pratique dans certains volumes stratégiques.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 1</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 2</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 3</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Global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Qualité rédactionnelle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8.5/10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8.5/10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3A5C"/>
                <w:sz w:val="18"/>
                <w:szCs w:val="18"/>
              </w:rPr>
              <w:t xml:space="preserve">8.5/10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Profondeur technique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3A5C"/>
                <w:sz w:val="18"/>
                <w:szCs w:val="18"/>
              </w:rPr>
              <w:t xml:space="preserve">8.5/10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Organisation structurelle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6.5/10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Exemples pratiques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6.5/10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3A5C"/>
                <w:sz w:val="18"/>
                <w:szCs w:val="18"/>
              </w:rPr>
              <w:t xml:space="preserve">Score global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7.5/10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7/10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8/10</w:t>
            </w:r>
          </w:p>
        </w:tc>
        <w:tc>
          <w:tcPr>
            <w:tcW w:type="dxa" w:w="15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18"/>
                <w:szCs w:val="18"/>
              </w:rPr>
              <w:t xml:space="preserve">7.5/10</w:t>
            </w:r>
          </w:p>
        </w:tc>
      </w:tr>
    </w:tbl>
    <w:p>
      <w:pPr>
        <w:spacing w:after="80"/>
      </w:pPr>
      <w:r>
        <w:rPr>
          <w:rFonts w:ascii="Arial" w:cs="Arial" w:eastAsia="Arial" w:hAnsi="Arial"/>
          <w:i/>
          <w:iCs/>
          <w:color w:val="999999"/>
          <w:sz w:val="16"/>
          <w:szCs w:val="16"/>
        </w:rPr>
        <w:t xml:space="preserve">Section 1 = Cursus (7 vol.) | Section 2 = Interopérabilité (14 chap.) | Section 3 = Entreprise Agentique (5 vol., 88 chap.)</w:t>
      </w:r>
    </w:p>
    <w:p>
      <w:r>
        <w:br w:type="page"/>
      </w:r>
    </w:p>
    <w:p>
      <w:pPr>
        <w:pStyle w:val="Heading1"/>
        <w:spacing w:before="360" w:after="200"/>
      </w:pPr>
      <w:r>
        <w:rPr>
          <w:rFonts w:ascii="Arial" w:cs="Arial" w:eastAsia="Arial" w:hAnsi="Arial"/>
          <w:b/>
          <w:bCs/>
          <w:color w:val="1B3A5C"/>
          <w:sz w:val="32"/>
          <w:szCs w:val="32"/>
        </w:rPr>
        <w:t xml:space="preserve">2. Portrait métrique du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Composante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Fichiers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Lignes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 Cursus (7 volumes)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52 539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 Interopérabilité (chapitres propres)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~12 000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2 – Interopérabilité (consolidés dupliqués)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70 939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 Entreprise Agentique (5 sous-volumes)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~138 000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273 713</w:t>
            </w:r>
          </w:p>
        </w:tc>
      </w:tr>
    </w:tbl>
    <w:p>
      <w:pPr>
        <w:spacing w:after="120"/>
        <w:jc w:val="both"/>
      </w:pPr>
      <w:r>
        <w:rPr>
          <w:rFonts w:ascii="Arial" w:cs="Arial" w:eastAsia="Arial" w:hAnsi="Arial"/>
          <w:color w:val="C00000"/>
          <w:sz w:val="20"/>
          <w:szCs w:val="20"/>
        </w:rPr>
        <w:t xml:space="preserve">Le dossier « 2 – Interopérabilité » contient 5 fichiers Volume_X_Consolide.md qui sont des copies bit-à-bit identiques (MD5 vérifié) des fichiers consolidés du dossier « 3 – Entreprise Agentique ». Cela représente 70 939 lignes de redondance pure, soit 26 % du corpus total.</w:t>
      </w:r>
    </w:p>
    <w:p>
      <w:r>
        <w:br w:type="page"/>
      </w:r>
    </w:p>
    <w:p>
      <w:pPr>
        <w:pStyle w:val="Heading1"/>
        <w:spacing w:before="360" w:after="200"/>
      </w:pPr>
      <w:r>
        <w:rPr>
          <w:rFonts w:ascii="Arial" w:cs="Arial" w:eastAsia="Arial" w:hAnsi="Arial"/>
          <w:b/>
          <w:bCs/>
          <w:color w:val="1B3A5C"/>
          <w:sz w:val="32"/>
          <w:szCs w:val="32"/>
        </w:rPr>
        <w:t xml:space="preserve">3. Section 1 – Cursus Science et Génie Informatique</w:t>
      </w:r>
    </w:p>
    <w:p>
      <w:pPr>
        <w:pStyle w:val="Heading2"/>
        <w:spacing w:before="280" w:after="160"/>
      </w:pPr>
      <w:r>
        <w:rPr>
          <w:rFonts w:ascii="Arial" w:cs="Arial" w:eastAsia="Arial" w:hAnsi="Arial"/>
          <w:b/>
          <w:bCs/>
          <w:color w:val="2E75B6"/>
          <w:sz w:val="26"/>
          <w:szCs w:val="26"/>
        </w:rPr>
        <w:t xml:space="preserve">3.1 Forces</w:t>
      </w:r>
    </w:p>
    <w:p>
      <w:pPr>
        <w:spacing w:after="120"/>
        <w:jc w:val="both"/>
      </w:pPr>
      <w:r>
        <w:rPr>
          <w:rFonts w:ascii="Arial" w:cs="Arial" w:eastAsia="Arial" w:hAnsi="Arial"/>
          <w:sz w:val="20"/>
          <w:szCs w:val="20"/>
        </w:rPr>
        <w:t xml:space="preserve">Historiographie informatique exceptionnelle dans le Volume I, couvrant de la Mésopotamie à l’ère quantique. Profondeur technique remarquable dans les Volumes III (systèmes d’exploitation, compilation) et V (IA, avec intégration philosophique de Searle et du Test de Turing). Le Volume VII propose une vision systémique rare de la convergence AGI-quantique, structurée autour de 6 conjectures formelles.</w:t>
      </w:r>
    </w:p>
    <w:p>
      <w:pPr>
        <w:spacing w:after="120"/>
        <w:jc w:val="both"/>
      </w:pPr>
      <w:r>
        <w:rPr>
          <w:rFonts w:ascii="Arial" w:cs="Arial" w:eastAsia="Arial" w:hAnsi="Arial"/>
          <w:sz w:val="20"/>
          <w:szCs w:val="20"/>
        </w:rPr>
        <w:t xml:space="preserve">La progression pédagogique est généralement bien maîtrisée : narration historique (Vol. I) → fondamentaux techniques (Vol. II-IV) → domaines avancés (Vol. V-VI) → synthèse prospective (Vol. VII).</w:t>
      </w:r>
    </w:p>
    <w:p>
      <w:pPr>
        <w:pStyle w:val="Heading2"/>
        <w:spacing w:before="280" w:after="160"/>
      </w:pPr>
      <w:r>
        <w:rPr>
          <w:rFonts w:ascii="Arial" w:cs="Arial" w:eastAsia="Arial" w:hAnsi="Arial"/>
          <w:b/>
          <w:bCs/>
          <w:color w:val="2E75B6"/>
          <w:sz w:val="26"/>
          <w:szCs w:val="26"/>
        </w:rPr>
        <w:t xml:space="preserve">3.2 Faiblesses identifiées</w:t>
      </w:r>
    </w:p>
    <w:p>
      <w:pPr>
        <w:spacing w:after="100"/>
      </w:pPr>
      <w:r>
        <w:rPr>
          <w:rFonts w:ascii="Arial" w:cs="Arial" w:eastAsia="Arial" w:hAnsi="Arial"/>
          <w:b/>
          <w:bCs/>
          <w:color w:val="1B3A5C"/>
          <w:sz w:val="20"/>
          <w:szCs w:val="20"/>
        </w:rPr>
        <w:t xml:space="preserve">Convention de nommage non conforme. </w:t>
      </w:r>
      <w:r>
        <w:rPr>
          <w:rFonts w:ascii="Arial" w:cs="Arial" w:eastAsia="Arial" w:hAnsi="Arial"/>
          <w:color w:val="333333"/>
          <w:sz w:val="20"/>
          <w:szCs w:val="20"/>
        </w:rPr>
        <w:t xml:space="preserve">Les fichiers utilisent « Cursus - Volume X - [Titre].md » alors que le CLAUDE.md prescrit « Chapitre_X.Y_Topic.md ». Les chapitres sont numérotés en interne (Chapitre 16, Chapitre 41) mais le fichier unique par volume ne reflète pas cette granularité.</w:t>
      </w:r>
    </w:p>
    <w:p>
      <w:pPr>
        <w:spacing w:after="100"/>
      </w:pPr>
      <w:r>
        <w:rPr>
          <w:rFonts w:ascii="Arial" w:cs="Arial" w:eastAsia="Arial" w:hAnsi="Arial"/>
          <w:b/>
          <w:bCs/>
          <w:color w:val="1B3A5C"/>
          <w:sz w:val="20"/>
          <w:szCs w:val="20"/>
        </w:rPr>
        <w:t xml:space="preserve">Monolithisme des fichiers. </w:t>
      </w:r>
      <w:r>
        <w:rPr>
          <w:rFonts w:ascii="Arial" w:cs="Arial" w:eastAsia="Arial" w:hAnsi="Arial"/>
          <w:color w:val="333333"/>
          <w:sz w:val="20"/>
          <w:szCs w:val="20"/>
        </w:rPr>
        <w:t xml:space="preserve">Chaque volume est un fichier unique de 4 000 à 12 000 lignes, rendant la navigation et la maintenance difficiles. Le Volume III culmine à 12 592 lignes.</w:t>
      </w:r>
    </w:p>
    <w:p>
      <w:pPr>
        <w:spacing w:after="100"/>
      </w:pPr>
      <w:r>
        <w:rPr>
          <w:rFonts w:ascii="Arial" w:cs="Arial" w:eastAsia="Arial" w:hAnsi="Arial"/>
          <w:b/>
          <w:bCs/>
          <w:color w:val="1B3A5C"/>
          <w:sz w:val="20"/>
          <w:szCs w:val="20"/>
        </w:rPr>
        <w:t xml:space="preserve">Absence de références croisées explicites. </w:t>
      </w:r>
      <w:r>
        <w:rPr>
          <w:rFonts w:ascii="Arial" w:cs="Arial" w:eastAsia="Arial" w:hAnsi="Arial"/>
          <w:color w:val="333333"/>
          <w:sz w:val="20"/>
          <w:szCs w:val="20"/>
        </w:rPr>
        <w:t xml:space="preserve">Le Volume VII cite « Chapitres 1, 2 » sans hyperlien ni chemin relatif. Les connexions entre IA (Vol. V) et architecture cognitivo-quantique (Vol. VII) restent implicites.</w:t>
      </w:r>
    </w:p>
    <w:p>
      <w:pPr>
        <w:spacing w:after="100"/>
      </w:pPr>
      <w:r>
        <w:rPr>
          <w:rFonts w:ascii="Arial" w:cs="Arial" w:eastAsia="Arial" w:hAnsi="Arial"/>
          <w:b/>
          <w:bCs/>
          <w:color w:val="1B3A5C"/>
          <w:sz w:val="20"/>
          <w:szCs w:val="20"/>
        </w:rPr>
        <w:t xml:space="preserve">Diagrammes absents. </w:t>
      </w:r>
      <w:r>
        <w:rPr>
          <w:rFonts w:ascii="Arial" w:cs="Arial" w:eastAsia="Arial" w:hAnsi="Arial"/>
          <w:color w:val="333333"/>
          <w:sz w:val="20"/>
          <w:szCs w:val="20"/>
        </w:rPr>
        <w:t xml:space="preserve">Aucune figure visuelle (SVG, Mermaid) n’a été détectée. Les architectures de noyau, les arbres de recherche IA et la sphère de Bloch sont décrits uniquement en prose.</w:t>
      </w:r>
    </w:p>
    <w:p>
      <w:r>
        <w:br w:type="page"/>
      </w:r>
    </w:p>
    <w:p>
      <w:pPr>
        <w:pStyle w:val="Heading1"/>
        <w:spacing w:before="360" w:after="200"/>
      </w:pPr>
      <w:r>
        <w:rPr>
          <w:rFonts w:ascii="Arial" w:cs="Arial" w:eastAsia="Arial" w:hAnsi="Arial"/>
          <w:b/>
          <w:bCs/>
          <w:color w:val="1B3A5C"/>
          <w:sz w:val="32"/>
          <w:szCs w:val="32"/>
        </w:rPr>
        <w:t xml:space="preserve">4. Section 2 – Interopérabilité</w:t>
      </w:r>
    </w:p>
    <w:p>
      <w:pPr>
        <w:pStyle w:val="Heading2"/>
        <w:spacing w:before="280" w:after="160"/>
      </w:pPr>
      <w:r>
        <w:rPr>
          <w:rFonts w:ascii="Arial" w:cs="Arial" w:eastAsia="Arial" w:hAnsi="Arial"/>
          <w:b/>
          <w:bCs/>
          <w:color w:val="2E75B6"/>
          <w:sz w:val="26"/>
          <w:szCs w:val="26"/>
        </w:rPr>
        <w:t xml:space="preserve">4.1 Forces</w:t>
      </w:r>
    </w:p>
    <w:p>
      <w:pPr>
        <w:spacing w:after="120"/>
        <w:jc w:val="both"/>
      </w:pPr>
      <w:r>
        <w:rPr>
          <w:rFonts w:ascii="Arial" w:cs="Arial" w:eastAsia="Arial" w:hAnsi="Arial"/>
          <w:sz w:val="20"/>
          <w:szCs w:val="20"/>
        </w:rPr>
        <w:t xml:space="preserve">Thèse centrale robuste : l’interopérabilité comme continuum plutôt que binaire. Structuration originale autour de trois piliers métaphoriques (Verbe/Applications, Nom/Données, Signal/Événements). L’étude de cas Order-to-Cash est particulièrement détaillée et constitue un pont efficace entre théorie et pratique. Les patrons d’intégration sont exhaustivement documentés.</w:t>
      </w:r>
    </w:p>
    <w:p>
      <w:pPr>
        <w:pStyle w:val="Heading2"/>
        <w:spacing w:before="280" w:after="160"/>
      </w:pPr>
      <w:r>
        <w:rPr>
          <w:rFonts w:ascii="Arial" w:cs="Arial" w:eastAsia="Arial" w:hAnsi="Arial"/>
          <w:b/>
          <w:bCs/>
          <w:color w:val="2E75B6"/>
          <w:sz w:val="26"/>
          <w:szCs w:val="26"/>
        </w:rPr>
        <w:t xml:space="preserve">4.2 Faiblesses identifiées</w:t>
      </w:r>
    </w:p>
    <w:p>
      <w:pPr>
        <w:spacing w:after="100"/>
      </w:pPr>
      <w:r>
        <w:rPr>
          <w:rFonts w:ascii="Arial" w:cs="Arial" w:eastAsia="Arial" w:hAnsi="Arial"/>
          <w:b/>
          <w:bCs/>
          <w:color w:val="1B3A5C"/>
          <w:sz w:val="20"/>
          <w:szCs w:val="20"/>
        </w:rPr>
        <w:t xml:space="preserve">Convention de nommage distincte. </w:t>
      </w:r>
      <w:r>
        <w:rPr>
          <w:rFonts w:ascii="Arial" w:cs="Arial" w:eastAsia="Arial" w:hAnsi="Arial"/>
          <w:color w:val="333333"/>
          <w:sz w:val="20"/>
          <w:szCs w:val="20"/>
        </w:rPr>
        <w:t xml:space="preserve">Utilise « NN_Description.md » (ex: 01_Introduction_Problematique.md) au lieu de « Chapitre_2.N_Titre.md ». Troisième convention différente dans le corpus.</w:t>
      </w:r>
    </w:p>
    <w:p>
      <w:pPr>
        <w:spacing w:after="100"/>
      </w:pPr>
      <w:r>
        <w:rPr>
          <w:rFonts w:ascii="Arial" w:cs="Arial" w:eastAsia="Arial" w:hAnsi="Arial"/>
          <w:b/>
          <w:bCs/>
          <w:color w:val="1B3A5C"/>
          <w:sz w:val="20"/>
          <w:szCs w:val="20"/>
        </w:rPr>
        <w:t xml:space="preserve">Fichiers Consolidés redondants. </w:t>
      </w:r>
      <w:r>
        <w:rPr>
          <w:rFonts w:ascii="Arial" w:cs="Arial" w:eastAsia="Arial" w:hAnsi="Arial"/>
          <w:color w:val="333333"/>
          <w:sz w:val="20"/>
          <w:szCs w:val="20"/>
        </w:rPr>
        <w:t xml:space="preserve">5 fichiers Volume_X_Consolide.md (70 939 lignes) sont des copies exactes du contenu de la Section 3. Cela gonfle artificiellement le dépôt, crée une ambiguïté sur la source de vérité et complique la maintenance (toute modification doit être répliquée).</w:t>
      </w:r>
    </w:p>
    <w:p>
      <w:pPr>
        <w:spacing w:after="100"/>
      </w:pPr>
      <w:r>
        <w:rPr>
          <w:rFonts w:ascii="Arial" w:cs="Arial" w:eastAsia="Arial" w:hAnsi="Arial"/>
          <w:b/>
          <w:bCs/>
          <w:color w:val="1B3A5C"/>
          <w:sz w:val="20"/>
          <w:szCs w:val="20"/>
        </w:rPr>
        <w:t xml:space="preserve">Lacunes thématiques. </w:t>
      </w:r>
      <w:r>
        <w:rPr>
          <w:rFonts w:ascii="Arial" w:cs="Arial" w:eastAsia="Arial" w:hAnsi="Arial"/>
          <w:color w:val="333333"/>
          <w:sz w:val="20"/>
          <w:szCs w:val="20"/>
        </w:rPr>
        <w:t xml:space="preserve">Le TCO de l’intégration, les métriques de maturité, les cas d’échec documentés, le Master Data Management et la cybersécurité spécifique à l’intégration sont insuffisamment traités.</w:t>
      </w:r>
    </w:p>
    <w:p>
      <w:pPr>
        <w:spacing w:after="100"/>
      </w:pPr>
      <w:r>
        <w:rPr>
          <w:rFonts w:ascii="Arial" w:cs="Arial" w:eastAsia="Arial" w:hAnsi="Arial"/>
          <w:b/>
          <w:bCs/>
          <w:color w:val="1B3A5C"/>
          <w:sz w:val="20"/>
          <w:szCs w:val="20"/>
        </w:rPr>
        <w:t xml:space="preserve">Absence de code. </w:t>
      </w:r>
      <w:r>
        <w:rPr>
          <w:rFonts w:ascii="Arial" w:cs="Arial" w:eastAsia="Arial" w:hAnsi="Arial"/>
          <w:color w:val="333333"/>
          <w:sz w:val="20"/>
          <w:szCs w:val="20"/>
        </w:rPr>
        <w:t xml:space="preserve">Aucun exemple d’implémentation (configuration API Gateway, schéma AsyncAPI, contrat de données YAML) n’illustre les patrons décrits en prose.</w:t>
      </w:r>
    </w:p>
    <w:p>
      <w:r>
        <w:br w:type="page"/>
      </w:r>
    </w:p>
    <w:p>
      <w:pPr>
        <w:pStyle w:val="Heading1"/>
        <w:spacing w:before="360" w:after="200"/>
      </w:pPr>
      <w:r>
        <w:rPr>
          <w:rFonts w:ascii="Arial" w:cs="Arial" w:eastAsia="Arial" w:hAnsi="Arial"/>
          <w:b/>
          <w:bCs/>
          <w:color w:val="1B3A5C"/>
          <w:sz w:val="32"/>
          <w:szCs w:val="32"/>
        </w:rPr>
        <w:t xml:space="preserve">5. Section 3 – Entreprise Agentique</w:t>
      </w:r>
    </w:p>
    <w:p>
      <w:pPr>
        <w:pStyle w:val="Heading2"/>
        <w:spacing w:before="280" w:after="160"/>
      </w:pPr>
      <w:r>
        <w:rPr>
          <w:rFonts w:ascii="Arial" w:cs="Arial" w:eastAsia="Arial" w:hAnsi="Arial"/>
          <w:b/>
          <w:bCs/>
          <w:color w:val="2E75B6"/>
          <w:sz w:val="26"/>
          <w:szCs w:val="26"/>
        </w:rPr>
        <w:t xml:space="preserve">5.1 Vue d’ensemble des 5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2480"/>
        <w:gridCol w:w="2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Volume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Chap.</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Taille</w:t>
            </w:r>
          </w:p>
        </w:tc>
        <w:tc>
          <w:tcPr>
            <w:tcW w:type="dxa" w:w="2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Forces</w:t>
            </w:r>
          </w:p>
        </w:tc>
        <w:tc>
          <w:tcPr>
            <w:tcW w:type="dxa" w:w="2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Faiblesses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 – Fondations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 Mo</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Diagnostic systémique rigoureux, cas québécois réalistes, définitions formelles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Déséquilibre parties (3-6-3-8-8), zéro code, transitions abruptes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II – Infrastructure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 Mo</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48 blocs code Python/Kafka, patrons Saga/CQRS/Event Sourcing concrets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Imbalance Kafka vs Vertex AI, sécurité condensée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III – Kafka Architecte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2,1 Mo</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Perspective architecte unique, ROI documenté, anti-patrons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Stream Processing sous-traité, gouvernance événements succincte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IV – Iceberg Lakehouse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2,7 Mo</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Historique profond, comparaisons justes, contexte canadien/Loi 25</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Trop volumineux, peu de code PySpark, Kafka-Iceberg superficiel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V – Développeur Renaissance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 Mo</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Philosophie solide, SDD template viable, décentrage humain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V.10 inachevé, historique prolixe, Parties 2-3 peu inspectées</w:t>
            </w:r>
          </w:p>
        </w:tc>
      </w:tr>
    </w:tbl>
    <w:p>
      <w:pPr>
        <w:pStyle w:val="Heading2"/>
        <w:spacing w:before="280" w:after="160"/>
      </w:pPr>
      <w:r>
        <w:rPr>
          <w:rFonts w:ascii="Arial" w:cs="Arial" w:eastAsia="Arial" w:hAnsi="Arial"/>
          <w:b/>
          <w:bCs/>
          <w:color w:val="2E75B6"/>
          <w:sz w:val="26"/>
          <w:szCs w:val="26"/>
        </w:rPr>
        <w:t xml:space="preserve">5.2 Points saillants</w:t>
      </w:r>
    </w:p>
    <w:p>
      <w:pPr>
        <w:spacing w:after="120"/>
        <w:jc w:val="both"/>
      </w:pPr>
      <w:r>
        <w:rPr>
          <w:rFonts w:ascii="Arial" w:cs="Arial" w:eastAsia="Arial" w:hAnsi="Arial"/>
          <w:sz w:val="20"/>
          <w:szCs w:val="20"/>
        </w:rPr>
        <w:t xml:space="preserve">Le Volume I est le pilier conceptuel de l’ensemble. Ses 28 chapitres construisent une archéologie complète de l’intégration (50 ans de paradigmes) puis projettent l’avenir agentique. Le déséquilibre structurel (Partie 1 = 3 chapitres diagnostiques vs Partie 4 = 8 chapitres denses) mérite une redistribution vers 5-6 chapitres par partie.</w:t>
      </w:r>
    </w:p>
    <w:p>
      <w:pPr>
        <w:spacing w:after="120"/>
        <w:jc w:val="both"/>
      </w:pPr>
      <w:r>
        <w:rPr>
          <w:rFonts w:ascii="Arial" w:cs="Arial" w:eastAsia="Arial" w:hAnsi="Arial"/>
          <w:sz w:val="20"/>
          <w:szCs w:val="20"/>
        </w:rPr>
        <w:t xml:space="preserve">Le Volume II est le plus actionnable, avec du code Python/Kafka prêt à l’emploi. Les patrons architecturaux avancés (Saga Chorégraphiée, CQRS, Outbox Transactionnel) sont formalisés avec exemples complets.</w:t>
      </w:r>
    </w:p>
    <w:p>
      <w:pPr>
        <w:spacing w:after="120"/>
        <w:jc w:val="both"/>
      </w:pPr>
      <w:r>
        <w:rPr>
          <w:rFonts w:ascii="Arial" w:cs="Arial" w:eastAsia="Arial" w:hAnsi="Arial"/>
          <w:sz w:val="20"/>
          <w:szCs w:val="20"/>
        </w:rPr>
        <w:t xml:space="preserve">Les Volumes III et IV sont des références techniques de valeur pour Kafka et Iceberg respectivement. Le Volume III innove en adoptant une perspective architecte (pas un manuel de configuration), avec des cas terrain FinServ réalistes. Le Volume IV contextualise Iceberg dans le cadre réglementaire canadien.</w:t>
      </w:r>
    </w:p>
    <w:p>
      <w:pPr>
        <w:spacing w:after="120"/>
        <w:jc w:val="both"/>
      </w:pPr>
      <w:r>
        <w:rPr>
          <w:rFonts w:ascii="Arial" w:cs="Arial" w:eastAsia="Arial" w:hAnsi="Arial"/>
          <w:sz w:val="20"/>
          <w:szCs w:val="20"/>
        </w:rPr>
        <w:t xml:space="preserve">Le Volume V (Développeur Renaissance) tente un décentrage audacieux vers l’humain. Le chapitre V.10 sur le Spec-Driven Development est prometteur mais s’interrompt abruptement.</w:t>
      </w:r>
    </w:p>
    <w:p>
      <w:r>
        <w:br w:type="page"/>
      </w:r>
    </w:p>
    <w:p>
      <w:pPr>
        <w:pStyle w:val="Heading1"/>
        <w:spacing w:before="360" w:after="200"/>
      </w:pPr>
      <w:r>
        <w:rPr>
          <w:rFonts w:ascii="Arial" w:cs="Arial" w:eastAsia="Arial" w:hAnsi="Arial"/>
          <w:b/>
          <w:bCs/>
          <w:color w:val="1B3A5C"/>
          <w:sz w:val="32"/>
          <w:szCs w:val="32"/>
        </w:rPr>
        <w:t xml:space="preserve">6. Problèmes structurels transversaux</w:t>
      </w:r>
    </w:p>
    <w:p>
      <w:pPr>
        <w:pStyle w:val="Heading2"/>
        <w:spacing w:before="280" w:after="160"/>
      </w:pPr>
      <w:r>
        <w:rPr>
          <w:rFonts w:ascii="Arial" w:cs="Arial" w:eastAsia="Arial" w:hAnsi="Arial"/>
          <w:b/>
          <w:bCs/>
          <w:color w:val="2E75B6"/>
          <w:sz w:val="26"/>
          <w:szCs w:val="26"/>
        </w:rPr>
        <w:t xml:space="preserve">6.1 Triple incohérence de nommage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Convention utilisée</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Convention CLAUDE.md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Cursus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Cursus - Volume X - Titre.md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Chapitre_X.Y_Topic.md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Interopérabilité</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NN_Description.md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Chapitre_X.Y_Topic.md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Entreprise Agentique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Chapitre_X.Y_Topic.md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Chapitre_X.Y_Topic.md</w:t>
            </w:r>
          </w:p>
        </w:tc>
      </w:tr>
    </w:tbl>
    <w:p>
      <w:pPr>
        <w:spacing w:after="120"/>
        <w:jc w:val="both"/>
      </w:pPr>
      <w:r>
        <w:rPr>
          <w:rFonts w:ascii="Arial" w:cs="Arial" w:eastAsia="Arial" w:hAnsi="Arial"/>
          <w:sz w:val="20"/>
          <w:szCs w:val="20"/>
        </w:rPr>
        <w:t xml:space="preserve">Seule la Section 3 respecte la convention prescrite par CLAUDE.md. Les Sections 1 et 2 utilisent chacune une convention différente.</w:t>
      </w:r>
    </w:p>
    <w:p>
      <w:pPr>
        <w:pStyle w:val="Heading2"/>
        <w:spacing w:before="280" w:after="160"/>
      </w:pPr>
      <w:r>
        <w:rPr>
          <w:rFonts w:ascii="Arial" w:cs="Arial" w:eastAsia="Arial" w:hAnsi="Arial"/>
          <w:b/>
          <w:bCs/>
          <w:color w:val="2E75B6"/>
          <w:sz w:val="26"/>
          <w:szCs w:val="26"/>
        </w:rPr>
        <w:t xml:space="preserve">6.2 Redondance des fichiers Consolidés</w:t>
      </w:r>
    </w:p>
    <w:p>
      <w:pPr>
        <w:spacing w:after="120"/>
        <w:jc w:val="both"/>
      </w:pPr>
      <w:r>
        <w:rPr>
          <w:rFonts w:ascii="Arial" w:cs="Arial" w:eastAsia="Arial" w:hAnsi="Arial"/>
          <w:sz w:val="20"/>
          <w:szCs w:val="20"/>
        </w:rPr>
        <w:t xml:space="preserve">Vérification MD5 : les 5 fichiers Volume_X_Consolide.md dans « 2 – Interopérabilité » sont des copies identiques de ceux dans « 3 – Entreprise Agentique ». Impact : 70 939 lignes dupliquées (26 % du corpus), ambiguïté source de vérité, risque de désynchronisation, gonflement du dépôt Git.</w:t>
      </w:r>
    </w:p>
    <w:p>
      <w:pPr>
        <w:pStyle w:val="Heading2"/>
        <w:spacing w:before="280" w:after="160"/>
      </w:pPr>
      <w:r>
        <w:rPr>
          <w:rFonts w:ascii="Arial" w:cs="Arial" w:eastAsia="Arial" w:hAnsi="Arial"/>
          <w:b/>
          <w:bCs/>
          <w:color w:val="2E75B6"/>
          <w:sz w:val="26"/>
          <w:szCs w:val="26"/>
        </w:rPr>
        <w:t xml:space="preserve">6.3 Absence de navigation inter-volumes</w:t>
      </w:r>
    </w:p>
    <w:p>
      <w:pPr>
        <w:spacing w:after="120"/>
        <w:jc w:val="both"/>
      </w:pPr>
      <w:r>
        <w:rPr>
          <w:rFonts w:ascii="Arial" w:cs="Arial" w:eastAsia="Arial" w:hAnsi="Arial"/>
          <w:sz w:val="20"/>
          <w:szCs w:val="20"/>
        </w:rPr>
        <w:t xml:space="preserve">Le corpus manque d’un index conceptuel global, de références croisées explicites entre sections (ex: le chapitre EDA de la Section 2 devrait pointer vers les fondamentaux Kafka du Volume II) et d’un glossaire fédéré des termes récurrents (Intention, Contrats de Données, Constitution Agentique).</w:t>
      </w:r>
    </w:p>
    <w:p>
      <w:pPr>
        <w:pStyle w:val="Heading2"/>
        <w:spacing w:before="280" w:after="160"/>
      </w:pPr>
      <w:r>
        <w:rPr>
          <w:rFonts w:ascii="Arial" w:cs="Arial" w:eastAsia="Arial" w:hAnsi="Arial"/>
          <w:b/>
          <w:bCs/>
          <w:color w:val="2E75B6"/>
          <w:sz w:val="26"/>
          <w:szCs w:val="26"/>
        </w:rPr>
        <w:t xml:space="preserve">6.4 Formats monolithiques (Section 1)</w:t>
      </w:r>
    </w:p>
    <w:p>
      <w:pPr>
        <w:spacing w:after="120"/>
        <w:jc w:val="both"/>
      </w:pPr>
      <w:r>
        <w:rPr>
          <w:rFonts w:ascii="Arial" w:cs="Arial" w:eastAsia="Arial" w:hAnsi="Arial"/>
          <w:sz w:val="20"/>
          <w:szCs w:val="20"/>
        </w:rPr>
        <w:t xml:space="preserve">Les 7 volumes du Cursus sont chacun un fichier unique allant de 4 000 à 12 000 lignes. Cette granularité rend la co-édition, le versionnage différentiel et la réutilisation de chapitres individuels très difficiles.</w:t>
      </w:r>
    </w:p>
    <w:p>
      <w:r>
        <w:br w:type="page"/>
      </w:r>
    </w:p>
    <w:p>
      <w:pPr>
        <w:pStyle w:val="Heading1"/>
        <w:spacing w:before="360" w:after="200"/>
      </w:pPr>
      <w:r>
        <w:rPr>
          <w:rFonts w:ascii="Arial" w:cs="Arial" w:eastAsia="Arial" w:hAnsi="Arial"/>
          <w:b/>
          <w:bCs/>
          <w:color w:val="1B3A5C"/>
          <w:sz w:val="32"/>
          <w:szCs w:val="32"/>
        </w:rPr>
        <w:t xml:space="preserve">7. Recommandations d’amélioration</w:t>
      </w:r>
    </w:p>
    <w:p>
      <w:pPr>
        <w:pStyle w:val="Heading2"/>
        <w:spacing w:before="280" w:after="160"/>
      </w:pPr>
      <w:r>
        <w:rPr>
          <w:rFonts w:ascii="Arial" w:cs="Arial" w:eastAsia="Arial" w:hAnsi="Arial"/>
          <w:b/>
          <w:bCs/>
          <w:color w:val="2E75B6"/>
          <w:sz w:val="26"/>
          <w:szCs w:val="26"/>
        </w:rPr>
        <w:t xml:space="preserve">7.1 Priorité 1 – Actions immédiates (1-2 semaines)</w:t>
      </w:r>
    </w:p>
    <w:p>
      <w:pPr>
        <w:pStyle w:val="ListParagraph"/>
        <w:numPr>
          <w:ilvl w:val="0"/>
          <w:numId w:val="2"/>
        </w:numPr>
        <w:spacing w:after="80"/>
      </w:pPr>
      <w:r>
        <w:rPr>
          <w:rFonts w:ascii="Arial" w:cs="Arial" w:eastAsia="Arial" w:hAnsi="Arial"/>
          <w:b/>
          <w:bCs/>
          <w:sz w:val="20"/>
          <w:szCs w:val="20"/>
        </w:rPr>
        <w:t xml:space="preserve">Supprimer les 5 fichiers Consolidés dupliqués</w:t>
      </w:r>
      <w:r>
        <w:rPr>
          <w:rFonts w:ascii="Arial" w:cs="Arial" w:eastAsia="Arial" w:hAnsi="Arial"/>
          <w:sz w:val="20"/>
          <w:szCs w:val="20"/>
        </w:rPr>
        <w:t xml:space="preserve"> du dossier « 2 – Interopérabilité ». Si un accès consolidé est nécessaire, utiliser des liens symboliques ou un script de génération. Gain : −71 000 lignes redondantes.</w:t>
      </w:r>
    </w:p>
    <w:p>
      <w:pPr>
        <w:pStyle w:val="ListParagraph"/>
        <w:numPr>
          <w:ilvl w:val="0"/>
          <w:numId w:val="2"/>
        </w:numPr>
        <w:spacing w:after="80"/>
      </w:pPr>
      <w:r>
        <w:rPr>
          <w:rFonts w:ascii="Arial" w:cs="Arial" w:eastAsia="Arial" w:hAnsi="Arial"/>
          <w:b/>
          <w:bCs/>
          <w:sz w:val="20"/>
          <w:szCs w:val="20"/>
        </w:rPr>
        <w:t xml:space="preserve">Compléter le Chapitre V.10 (Spec-Driven Development)</w:t>
      </w:r>
      <w:r>
        <w:rPr>
          <w:rFonts w:ascii="Arial" w:cs="Arial" w:eastAsia="Arial" w:hAnsi="Arial"/>
          <w:sz w:val="20"/>
          <w:szCs w:val="20"/>
        </w:rPr>
        <w:t xml:space="preserve"> : sections 6 à 10 manquantes (gestion d’erreur, critères d’acceptation, intégration Claude). Ce chapitre est le pont entre théorie et outillage.</w:t>
      </w:r>
    </w:p>
    <w:p>
      <w:pPr>
        <w:pStyle w:val="ListParagraph"/>
        <w:numPr>
          <w:ilvl w:val="0"/>
          <w:numId w:val="2"/>
        </w:numPr>
        <w:spacing w:after="80"/>
      </w:pPr>
      <w:r>
        <w:rPr>
          <w:rFonts w:ascii="Arial" w:cs="Arial" w:eastAsia="Arial" w:hAnsi="Arial"/>
          <w:b/>
          <w:bCs/>
          <w:sz w:val="20"/>
          <w:szCs w:val="20"/>
        </w:rPr>
        <w:t xml:space="preserve">Mettre à jour CLAUDE.md</w:t>
      </w:r>
      <w:r>
        <w:rPr>
          <w:rFonts w:ascii="Arial" w:cs="Arial" w:eastAsia="Arial" w:hAnsi="Arial"/>
          <w:sz w:val="20"/>
          <w:szCs w:val="20"/>
        </w:rPr>
        <w:t xml:space="preserve"> pour refléter les 3 conventions de nommage réellement utilisées, ou planifier la migration vers une convention unifiée.</w:t>
      </w:r>
    </w:p>
    <w:p>
      <w:pPr>
        <w:pStyle w:val="Heading2"/>
        <w:spacing w:before="280" w:after="160"/>
      </w:pPr>
      <w:r>
        <w:rPr>
          <w:rFonts w:ascii="Arial" w:cs="Arial" w:eastAsia="Arial" w:hAnsi="Arial"/>
          <w:b/>
          <w:bCs/>
          <w:color w:val="2E75B6"/>
          <w:sz w:val="26"/>
          <w:szCs w:val="26"/>
        </w:rPr>
        <w:t xml:space="preserve">7.2 Priorité 2 – Améliorations structurelles (1-3 mois)</w:t>
      </w:r>
    </w:p>
    <w:p>
      <w:pPr>
        <w:pStyle w:val="ListParagraph"/>
        <w:numPr>
          <w:ilvl w:val="0"/>
          <w:numId w:val="3"/>
        </w:numPr>
        <w:spacing w:after="80"/>
      </w:pPr>
      <w:r>
        <w:rPr>
          <w:rFonts w:ascii="Arial" w:cs="Arial" w:eastAsia="Arial" w:hAnsi="Arial"/>
          <w:b/>
          <w:bCs/>
          <w:sz w:val="20"/>
          <w:szCs w:val="20"/>
        </w:rPr>
        <w:t xml:space="preserve">Éclater les volumes monolithiques du Cursus</w:t>
      </w:r>
      <w:r>
        <w:rPr>
          <w:rFonts w:ascii="Arial" w:cs="Arial" w:eastAsia="Arial" w:hAnsi="Arial"/>
          <w:sz w:val="20"/>
          <w:szCs w:val="20"/>
        </w:rPr>
        <w:t xml:space="preserve"> en fichiers par chapitre (Chapitre_1.1_Histoire.md, etc.), alignés sur la convention Chapitre_X.Y. Maintenir un fichier consolidé généré automatiquement si nécessaire.</w:t>
      </w:r>
    </w:p>
    <w:p>
      <w:pPr>
        <w:pStyle w:val="ListParagraph"/>
        <w:numPr>
          <w:ilvl w:val="0"/>
          <w:numId w:val="3"/>
        </w:numPr>
        <w:spacing w:after="80"/>
      </w:pPr>
      <w:r>
        <w:rPr>
          <w:rFonts w:ascii="Arial" w:cs="Arial" w:eastAsia="Arial" w:hAnsi="Arial"/>
          <w:b/>
          <w:bCs/>
          <w:sz w:val="20"/>
          <w:szCs w:val="20"/>
        </w:rPr>
        <w:t xml:space="preserve">Renommer les chapitres d’Interopérabilité</w:t>
      </w:r>
      <w:r>
        <w:rPr>
          <w:rFonts w:ascii="Arial" w:cs="Arial" w:eastAsia="Arial" w:hAnsi="Arial"/>
          <w:sz w:val="20"/>
          <w:szCs w:val="20"/>
        </w:rPr>
        <w:t xml:space="preserve"> de « NN_Description.md » vers « Chapitre_2.N_Description.md » pour homogénéiser le corpus.</w:t>
      </w:r>
    </w:p>
    <w:p>
      <w:pPr>
        <w:pStyle w:val="ListParagraph"/>
        <w:numPr>
          <w:ilvl w:val="0"/>
          <w:numId w:val="3"/>
        </w:numPr>
        <w:spacing w:after="80"/>
      </w:pPr>
      <w:r>
        <w:rPr>
          <w:rFonts w:ascii="Arial" w:cs="Arial" w:eastAsia="Arial" w:hAnsi="Arial"/>
          <w:b/>
          <w:bCs/>
          <w:sz w:val="20"/>
          <w:szCs w:val="20"/>
        </w:rPr>
        <w:t xml:space="preserve">Rééquilibrer le Volume I (Fondations Agentique)</w:t>
      </w:r>
      <w:r>
        <w:rPr>
          <w:rFonts w:ascii="Arial" w:cs="Arial" w:eastAsia="Arial" w:hAnsi="Arial"/>
          <w:sz w:val="20"/>
          <w:szCs w:val="20"/>
        </w:rPr>
        <w:t xml:space="preserve"> : redistribuer les 28 chapitres vers un ratio 4-6-4-6-6 au lieu de 3-6-3-8-8, améliorant la progression pédagogique.</w:t>
      </w:r>
    </w:p>
    <w:p>
      <w:pPr>
        <w:pStyle w:val="ListParagraph"/>
        <w:numPr>
          <w:ilvl w:val="0"/>
          <w:numId w:val="3"/>
        </w:numPr>
        <w:spacing w:after="80"/>
      </w:pPr>
      <w:r>
        <w:rPr>
          <w:rFonts w:ascii="Arial" w:cs="Arial" w:eastAsia="Arial" w:hAnsi="Arial"/>
          <w:b/>
          <w:bCs/>
          <w:sz w:val="20"/>
          <w:szCs w:val="20"/>
        </w:rPr>
        <w:t xml:space="preserve">Créer un index conceptuel global (INDEX.md)</w:t>
      </w:r>
      <w:r>
        <w:rPr>
          <w:rFonts w:ascii="Arial" w:cs="Arial" w:eastAsia="Arial" w:hAnsi="Arial"/>
          <w:sz w:val="20"/>
          <w:szCs w:val="20"/>
        </w:rPr>
        <w:t xml:space="preserve"> à la racine, avec glossaire fédéré, carte de navigation inter-volumes et références croisées explicites.</w:t>
      </w:r>
    </w:p>
    <w:p>
      <w:pPr>
        <w:pStyle w:val="Heading2"/>
        <w:spacing w:before="280" w:after="160"/>
      </w:pPr>
      <w:r>
        <w:rPr>
          <w:rFonts w:ascii="Arial" w:cs="Arial" w:eastAsia="Arial" w:hAnsi="Arial"/>
          <w:b/>
          <w:bCs/>
          <w:color w:val="2E75B6"/>
          <w:sz w:val="26"/>
          <w:szCs w:val="26"/>
        </w:rPr>
        <w:t xml:space="preserve">7.3 Priorité 3 – Enrichissement du contenu (3-6 mois)</w:t>
      </w:r>
    </w:p>
    <w:p>
      <w:pPr>
        <w:pStyle w:val="ListParagraph"/>
        <w:numPr>
          <w:ilvl w:val="0"/>
          <w:numId w:val="4"/>
        </w:numPr>
        <w:spacing w:after="80"/>
      </w:pPr>
      <w:r>
        <w:rPr>
          <w:rFonts w:ascii="Arial" w:cs="Arial" w:eastAsia="Arial" w:hAnsi="Arial"/>
          <w:b/>
          <w:bCs/>
          <w:sz w:val="20"/>
          <w:szCs w:val="20"/>
        </w:rPr>
        <w:t xml:space="preserve">Ajouter 15-20 diagrammes Mermaid</w:t>
      </w:r>
      <w:r>
        <w:rPr>
          <w:rFonts w:ascii="Arial" w:cs="Arial" w:eastAsia="Arial" w:hAnsi="Arial"/>
          <w:sz w:val="20"/>
          <w:szCs w:val="20"/>
        </w:rPr>
        <w:t xml:space="preserve"> : architecture Kafka (Vol. II-III), couches Iceberg (Vol. IV), Agentic Mesh (Vol. I), flux Order-to-Cash (Sect. 2), sphère de Bloch et architectures IA (Sect. 1).</w:t>
      </w:r>
    </w:p>
    <w:p>
      <w:pPr>
        <w:pStyle w:val="ListParagraph"/>
        <w:numPr>
          <w:ilvl w:val="0"/>
          <w:numId w:val="4"/>
        </w:numPr>
        <w:spacing w:after="80"/>
      </w:pPr>
      <w:r>
        <w:rPr>
          <w:rFonts w:ascii="Arial" w:cs="Arial" w:eastAsia="Arial" w:hAnsi="Arial"/>
          <w:b/>
          <w:bCs/>
          <w:sz w:val="20"/>
          <w:szCs w:val="20"/>
        </w:rPr>
        <w:t xml:space="preserve">Enrichir le code pratique</w:t>
      </w:r>
      <w:r>
        <w:rPr>
          <w:rFonts w:ascii="Arial" w:cs="Arial" w:eastAsia="Arial" w:hAnsi="Arial"/>
          <w:sz w:val="20"/>
          <w:szCs w:val="20"/>
        </w:rPr>
        <w:t xml:space="preserve"> : ajouter des exemples PySpark pour Iceberg (Vol. IV), des configurations AsyncAPI pour l’Interopérabilité, et des templates SDD complets (Vol. V).</w:t>
      </w:r>
    </w:p>
    <w:p>
      <w:pPr>
        <w:pStyle w:val="ListParagraph"/>
        <w:numPr>
          <w:ilvl w:val="0"/>
          <w:numId w:val="4"/>
        </w:numPr>
        <w:spacing w:after="80"/>
      </w:pPr>
      <w:r>
        <w:rPr>
          <w:rFonts w:ascii="Arial" w:cs="Arial" w:eastAsia="Arial" w:hAnsi="Arial"/>
          <w:b/>
          <w:bCs/>
          <w:sz w:val="20"/>
          <w:szCs w:val="20"/>
        </w:rPr>
        <w:t xml:space="preserve">Combler les lacunes thématiques de l’Interopérabilité</w:t>
      </w:r>
      <w:r>
        <w:rPr>
          <w:rFonts w:ascii="Arial" w:cs="Arial" w:eastAsia="Arial" w:hAnsi="Arial"/>
          <w:sz w:val="20"/>
          <w:szCs w:val="20"/>
        </w:rPr>
        <w:t xml:space="preserve"> : TCO d’intégration, métriques de maturité, cas d’échec documentés (anonymisés), cybersécurité spécifique aux flux d’intégration.</w:t>
      </w:r>
    </w:p>
    <w:p>
      <w:pPr>
        <w:pStyle w:val="ListParagraph"/>
        <w:numPr>
          <w:ilvl w:val="0"/>
          <w:numId w:val="4"/>
        </w:numPr>
        <w:spacing w:after="80"/>
      </w:pPr>
      <w:r>
        <w:rPr>
          <w:rFonts w:ascii="Arial" w:cs="Arial" w:eastAsia="Arial" w:hAnsi="Arial"/>
          <w:b/>
          <w:bCs/>
          <w:sz w:val="20"/>
          <w:szCs w:val="20"/>
        </w:rPr>
        <w:t xml:space="preserve">Approfondir le Streaming Lakehouse</w:t>
      </w:r>
      <w:r>
        <w:rPr>
          <w:rFonts w:ascii="Arial" w:cs="Arial" w:eastAsia="Arial" w:hAnsi="Arial"/>
          <w:sz w:val="20"/>
          <w:szCs w:val="20"/>
        </w:rPr>
        <w:t xml:space="preserve"> : le pipeline Kafka → Iceberg est un cas d’usage critique pour l’entreprise agentique. Les Volumes III et IV devraient chacun y consacrer un chapitre complet avec architecture de référence.</w:t>
      </w:r>
    </w:p>
    <w:p>
      <w:r>
        <w:br w:type="page"/>
      </w:r>
    </w:p>
    <w:p>
      <w:pPr>
        <w:pStyle w:val="Heading1"/>
        <w:spacing w:before="360" w:after="200"/>
      </w:pPr>
      <w:r>
        <w:rPr>
          <w:rFonts w:ascii="Arial" w:cs="Arial" w:eastAsia="Arial" w:hAnsi="Arial"/>
          <w:b/>
          <w:bCs/>
          <w:color w:val="1B3A5C"/>
          <w:sz w:val="32"/>
          <w:szCs w:val="32"/>
        </w:rPr>
        <w:t xml:space="preserve">8. Conclusion</w:t>
      </w:r>
    </w:p>
    <w:p>
      <w:pPr>
        <w:spacing w:after="120"/>
        <w:jc w:val="both"/>
      </w:pPr>
      <w:r>
        <w:rPr>
          <w:rFonts w:ascii="Arial" w:cs="Arial" w:eastAsia="Arial" w:hAnsi="Arial"/>
          <w:sz w:val="20"/>
          <w:szCs w:val="20"/>
        </w:rPr>
        <w:t xml:space="preserve">Le CorpusInformatique est une œuvre intellectuelle ambitieuse et de grande valeur. La qualité rédactionnelle, la profondeur technique et la perspective historique sont remarquables, particulièrement dans un paysage documentaire francophone où ce type de traité fait cruellement défaut.</w:t>
      </w:r>
    </w:p>
    <w:p>
      <w:pPr>
        <w:spacing w:after="120"/>
        <w:jc w:val="both"/>
      </w:pPr>
      <w:r>
        <w:rPr>
          <w:rFonts w:ascii="Arial" w:cs="Arial" w:eastAsia="Arial" w:hAnsi="Arial"/>
          <w:sz w:val="20"/>
          <w:szCs w:val="20"/>
        </w:rPr>
        <w:t xml:space="preserve">Les faiblesses identifiées sont principalement structurelles et organisationnelles, non substantives. La redondance documentaire, l’hétérogénéité des conventions et le manque de diagrammes sont des problèmes corrigeables qui, une fois résolus, élèveraient le score global de 7,5 à 9/10.</w:t>
      </w:r>
    </w:p>
    <w:p>
      <w:pPr>
        <w:spacing w:after="120"/>
        <w:jc w:val="both"/>
      </w:pPr>
      <w:r>
        <w:rPr>
          <w:rFonts w:ascii="Arial" w:cs="Arial" w:eastAsia="Arial" w:hAnsi="Arial"/>
          <w:sz w:val="20"/>
          <w:szCs w:val="20"/>
        </w:rPr>
        <w:t xml:space="preserve">L’arc narratif global — des fondations théoriques de l’informatique, à travers l’intégration d’entreprise, jusqu’à l’ère agentique et au développeur-polymathe — constitue une trajectoire intellectuelle rare et cohérente. Le corpus mérite publication après consolidation structurelle.</w:t>
      </w:r>
    </w:p>
    <w:p>
      <w:r>
        <w:br w:type="page"/>
      </w:r>
    </w:p>
    <w:p>
      <w:pPr>
        <w:pStyle w:val="Heading1"/>
        <w:spacing w:before="360" w:after="200"/>
      </w:pPr>
      <w:r>
        <w:rPr>
          <w:rFonts w:ascii="Arial" w:cs="Arial" w:eastAsia="Arial" w:hAnsi="Arial"/>
          <w:b/>
          <w:bCs/>
          <w:color w:val="1B3A5C"/>
          <w:sz w:val="32"/>
          <w:szCs w:val="32"/>
        </w:rPr>
        <w:t xml:space="preserve">Annexe – Matrice de conformité détaillée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9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Critère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Cursus</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Interop.</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Vol. I-II</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Vol. III-V</w:t>
            </w:r>
          </w:p>
        </w:tc>
        <w:tc>
          <w:tcPr>
            <w:tcW w:type="dxa" w:w="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Poids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Nommage Chapitre_X.Y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Élevé</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Fichiers granulaires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Élevé</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Références croisées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Implicites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Partielles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Partielles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Partielles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Moyen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Code / exemples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Pseudo-code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 (Vol.II)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Partiel</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Élevé</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Diagrammes visuels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Moyen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Sans redondance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0000"/>
                <w:sz w:val="18"/>
                <w:szCs w:val="18"/>
              </w:rPr>
              <w:t xml:space="preserve">✖ (71K lig.)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Consolidés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Consolidés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Critique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Ton académique FR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Élevé</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Analyse CorpusInformatique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2026-02-12T23:48:55.323Z</dcterms:created>
  <dcterms:modified xsi:type="dcterms:W3CDTF">2026-02-12T23:48:55.323Z</dcterms:modified>
</cp:coreProperties>
</file>

<file path=docProps/custom.xml><?xml version="1.0" encoding="utf-8"?>
<Properties xmlns="http://schemas.openxmlformats.org/officeDocument/2006/custom-properties" xmlns:vt="http://schemas.openxmlformats.org/officeDocument/2006/docPropsVTypes"/>
</file>