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Allocation</w:t>
      </w:r>
      <w:r>
        <w:t xml:space="preserve"> </w:t>
      </w:r>
      <w:r>
        <w:t xml:space="preserve">and</w:t>
      </w:r>
      <w:r>
        <w:t xml:space="preserve"> </w:t>
      </w:r>
      <w:r>
        <w:t xml:space="preserve">workflow</w:t>
      </w:r>
    </w:p>
    <w:p>
      <w:pPr>
        <w:pStyle w:val="Date"/>
      </w:pPr>
      <w:r>
        <w:t xml:space="preserve">2024-03-13</w:t>
      </w:r>
    </w:p>
    <w:bookmarkStart w:id="20" w:name="sec-allocations"/>
    <w:p>
      <w:pPr>
        <w:pStyle w:val="Heading2"/>
      </w:pPr>
      <w:r>
        <w:t xml:space="preserve">Allocation table</w:t>
      </w:r>
    </w:p>
    <w:p>
      <w:pPr>
        <w:pStyle w:val="TableCaption"/>
      </w:pPr>
      <w:r>
        <w:t xml:space="preserve">Assessor allocation of subject IDs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ssessor allocation of subject ID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IDs (svd_)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66-265, 851-900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66-115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KMØ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116-415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266-550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416-650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NLP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551-750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651-900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751-850, 901-1055</w:t>
            </w:r>
          </w:p>
        </w:tc>
      </w:tr>
    </w:tbl>
    <w:bookmarkEnd w:id="20"/>
    <w:bookmarkStart w:id="22" w:name="sec-suggested-workflow"/>
    <w:p>
      <w:pPr>
        <w:pStyle w:val="Heading2"/>
      </w:pPr>
      <w:r>
        <w:t xml:space="preserve">Suggested workflow</w:t>
      </w:r>
    </w:p>
    <w:p>
      <w:pPr>
        <w:pStyle w:val="FirstParagraph"/>
      </w:pPr>
      <w:r>
        <w:rPr>
          <w:bCs/>
          <w:b/>
        </w:rPr>
        <w:t xml:space="preserve">In REDCap:</w:t>
      </w:r>
    </w:p>
    <w:p>
      <w:pPr>
        <w:numPr>
          <w:ilvl w:val="0"/>
          <w:numId w:val="1001"/>
        </w:numPr>
      </w:pPr>
      <w:r>
        <w:t xml:space="preserve">Login to AU REDCap, open the</w:t>
      </w:r>
      <w:r>
        <w:t xml:space="preserve"> </w:t>
      </w:r>
      <w:r>
        <w:t xml:space="preserve">“</w:t>
      </w:r>
      <w:r>
        <w:t xml:space="preserve">SVD-burden POOL</w:t>
      </w:r>
      <w:r>
        <w:t xml:space="preserve">”</w:t>
      </w:r>
      <w:r>
        <w:t xml:space="preserve"> </w:t>
      </w:r>
      <w:r>
        <w:t xml:space="preserve">project and go to</w:t>
      </w:r>
      <w:r>
        <w:t xml:space="preserve"> </w:t>
      </w:r>
      <w:r>
        <w:t xml:space="preserve">“</w:t>
      </w:r>
      <w:r>
        <w:rPr>
          <w:bCs/>
          <w:b/>
        </w:rPr>
        <w:t xml:space="preserve">Record Status Dashboard</w:t>
      </w:r>
      <w:r>
        <w:t xml:space="preserve">”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just follow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From the drop-down</w:t>
      </w:r>
      <w:r>
        <w:t xml:space="preserve"> </w:t>
      </w:r>
      <w:r>
        <w:t xml:space="preserve">“</w:t>
      </w:r>
      <w:r>
        <w:rPr>
          <w:bCs/>
          <w:b/>
        </w:rPr>
        <w:t xml:space="preserve">Dashboard displayed</w:t>
      </w:r>
      <w:r>
        <w:t xml:space="preserve">”</w:t>
      </w:r>
      <w:r>
        <w:t xml:space="preserve">, choose the desired</w:t>
      </w:r>
      <w:r>
        <w:t xml:space="preserve"> </w:t>
      </w:r>
      <w:r>
        <w:t xml:space="preserve">dashboard (there is one common for the first, and one for each</w:t>
      </w:r>
      <w:r>
        <w:t xml:space="preserve"> </w:t>
      </w:r>
      <w:r>
        <w:t xml:space="preserve">assessor with allocated subjects and progress).</w:t>
      </w:r>
    </w:p>
    <w:p>
      <w:pPr>
        <w:numPr>
          <w:ilvl w:val="0"/>
          <w:numId w:val="1001"/>
        </w:numPr>
      </w:pPr>
      <w:r>
        <w:t xml:space="preserve">Open the</w:t>
      </w:r>
      <w:r>
        <w:t xml:space="preserve"> </w:t>
      </w:r>
      <w:r>
        <w:t xml:space="preserve">“</w:t>
      </w:r>
      <w:r>
        <w:t xml:space="preserve">SVD score</w:t>
      </w:r>
      <w:r>
        <w:t xml:space="preserve">”</w:t>
      </w:r>
      <w:r>
        <w:t xml:space="preserve"> </w:t>
      </w:r>
      <w:r>
        <w:t xml:space="preserve">instrument to start capturing the score.</w:t>
      </w:r>
    </w:p>
    <w:p>
      <w:pPr>
        <w:numPr>
          <w:ilvl w:val="1"/>
          <w:numId w:val="1002"/>
        </w:numPr>
        <w:pStyle w:val="Compact"/>
      </w:pPr>
      <w:r>
        <w:t xml:space="preserve">If the</w:t>
      </w:r>
      <w:r>
        <w:t xml:space="preserve"> </w:t>
      </w:r>
      <w:r>
        <w:t xml:space="preserve">“</w:t>
      </w:r>
      <w:r>
        <w:t xml:space="preserve">dot</w:t>
      </w:r>
      <w:r>
        <w:t xml:space="preserve">”</w:t>
      </w:r>
      <w:r>
        <w:t xml:space="preserve"> </w:t>
      </w:r>
      <w:r>
        <w:t xml:space="preserve">is colored, the instrument already has been filled.</w:t>
      </w:r>
      <w:r>
        <w:t xml:space="preserve"> </w:t>
      </w:r>
      <w:r>
        <w:t xml:space="preserve">Press the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-sign to create a new version (mainly necessary</w:t>
      </w:r>
      <w:r>
        <w:t xml:space="preserve"> </w:t>
      </w:r>
      <w:r>
        <w:t xml:space="preserve">during the inter-rater-reliability testing, as each subject is</w:t>
      </w:r>
      <w:r>
        <w:t xml:space="preserve"> </w:t>
      </w:r>
      <w:r>
        <w:t xml:space="preserve">only scored once)</w:t>
      </w:r>
    </w:p>
    <w:p>
      <w:pPr>
        <w:numPr>
          <w:ilvl w:val="0"/>
          <w:numId w:val="1001"/>
        </w:numPr>
      </w:pPr>
      <w:r>
        <w:t xml:space="preserve">In the top of the instrument, the patient CPR, name and admission</w:t>
      </w:r>
      <w:r>
        <w:t xml:space="preserve"> </w:t>
      </w:r>
      <w:r>
        <w:t xml:space="preserve">time is printed as well as assessor allocated (should be you, but</w:t>
      </w:r>
      <w:r>
        <w:t xml:space="preserve"> </w:t>
      </w:r>
      <w:r>
        <w:t xml:space="preserve">please check) and link to Citrix for convenience.</w:t>
      </w:r>
    </w:p>
    <w:p>
      <w:pPr>
        <w:pStyle w:val="FirstParagraph"/>
      </w:pPr>
      <w:r>
        <w:rPr>
          <w:bCs/>
          <w:b/>
        </w:rPr>
        <w:t xml:space="preserve">In Citrix/PACS:</w:t>
      </w:r>
    </w:p>
    <w:p>
      <w:pPr>
        <w:numPr>
          <w:ilvl w:val="0"/>
          <w:numId w:val="1003"/>
        </w:numPr>
      </w:pPr>
      <w:r>
        <w:t xml:space="preserve">Open the</w:t>
      </w:r>
      <w:r>
        <w:t xml:space="preserve"> </w:t>
      </w:r>
      <w:r>
        <w:t xml:space="preserve">“</w:t>
      </w:r>
      <w:r>
        <w:t xml:space="preserve">Billeddiagnostik PACS</w:t>
      </w:r>
      <w:r>
        <w:t xml:space="preserve">”</w:t>
      </w:r>
      <w:r>
        <w:t xml:space="preserve"> </w:t>
      </w:r>
      <w:r>
        <w:t xml:space="preserve">module (find it under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star</w:t>
      </w:r>
      <w:r>
        <w:t xml:space="preserve">”</w:t>
      </w:r>
      <w:r>
        <w:t xml:space="preserve"> </w:t>
      </w:r>
      <w:r>
        <w:t xml:space="preserve">it the first time) and look up the patient using the CPR</w:t>
      </w:r>
      <w:r>
        <w:t xml:space="preserve"> </w:t>
      </w:r>
      <w:r>
        <w:t xml:space="preserve">number copied from REDCap.</w:t>
      </w:r>
    </w:p>
    <w:p>
      <w:pPr>
        <w:numPr>
          <w:ilvl w:val="0"/>
          <w:numId w:val="1003"/>
        </w:numPr>
      </w:pPr>
      <w:r>
        <w:t xml:space="preserve">Please use the subject admission date and time as reference to</w:t>
      </w:r>
      <w:r>
        <w:t xml:space="preserve"> </w:t>
      </w:r>
      <w:r>
        <w:t xml:space="preserve">select the correct scan and the exact date and time of the scan</w:t>
      </w:r>
      <w:r>
        <w:t xml:space="preserve"> </w:t>
      </w:r>
      <w:r>
        <w:t xml:space="preserve">(fields are pre-filled with admission date and time).</w:t>
      </w:r>
    </w:p>
    <w:p>
      <w:pPr>
        <w:numPr>
          <w:ilvl w:val="0"/>
          <w:numId w:val="1003"/>
        </w:numPr>
      </w:pPr>
      <w:r>
        <w:t xml:space="preserve">The scan might take a minute or two to load from the storage server.</w:t>
      </w:r>
      <w:r>
        <w:t xml:space="preserve"> </w:t>
      </w:r>
      <w:r>
        <w:t xml:space="preserve">A little patience is necessary. The first time, you can use this</w:t>
      </w:r>
      <w:r>
        <w:t xml:space="preserve"> </w:t>
      </w:r>
      <w:r>
        <w:t xml:space="preserve">time to arrange your program windows for optimal workflow.</w:t>
      </w:r>
    </w:p>
    <w:p>
      <w:pPr>
        <w:numPr>
          <w:ilvl w:val="1"/>
          <w:numId w:val="1004"/>
        </w:numPr>
      </w:pPr>
      <w:r>
        <w:t xml:space="preserve">Maximise the</w:t>
      </w:r>
      <w:r>
        <w:t xml:space="preserve"> </w:t>
      </w:r>
      <w:r>
        <w:t xml:space="preserve">“</w:t>
      </w:r>
      <w:r>
        <w:t xml:space="preserve">PACS</w:t>
      </w:r>
      <w:r>
        <w:t xml:space="preserve">”</w:t>
      </w:r>
      <w:r>
        <w:t xml:space="preserve"> </w:t>
      </w:r>
      <w:r>
        <w:t xml:space="preserve">window on the left half of yuor screen and</w:t>
      </w:r>
      <w:r>
        <w:t xml:space="preserve"> </w:t>
      </w:r>
      <w:r>
        <w:t xml:space="preserve">“</w:t>
      </w:r>
      <w:r>
        <w:t xml:space="preserve">REDCap</w:t>
      </w:r>
      <w:r>
        <w:t xml:space="preserve">”</w:t>
      </w:r>
      <w:r>
        <w:t xml:space="preserve"> </w:t>
      </w:r>
      <w:r>
        <w:t xml:space="preserve">on the left (to have controls line up in the middle and</w:t>
      </w:r>
      <w:r>
        <w:t xml:space="preserve"> </w:t>
      </w:r>
      <w:r>
        <w:t xml:space="preserve">minimize cursor movement)</w:t>
      </w:r>
    </w:p>
    <w:p>
      <w:pPr>
        <w:numPr>
          <w:ilvl w:val="1"/>
          <w:numId w:val="1000"/>
        </w:numPr>
      </w:pPr>
      <w:r>
        <w:t xml:space="preserve">Note that the REDCap is organized by MRI sequences (T2*/SWI and</w:t>
      </w:r>
      <w:r>
        <w:t xml:space="preserve"> </w:t>
      </w:r>
      <w:r>
        <w:t xml:space="preserve">FLAIR) corresponding to how they are organized in PACS. The</w:t>
      </w:r>
      <w:r>
        <w:t xml:space="preserve"> </w:t>
      </w:r>
      <w:r>
        <w:t xml:space="preserve">relevant sequences are usually found at the buttom of the list</w:t>
      </w:r>
      <w:r>
        <w:t xml:space="preserve"> </w:t>
      </w:r>
      <w:r>
        <w:t xml:space="preserve">in PACS.</w:t>
      </w:r>
    </w:p>
    <w:p>
      <w:pPr>
        <w:pStyle w:val="FirstParagraph"/>
      </w:pPr>
      <w:r>
        <w:rPr>
          <w:bCs/>
          <w:b/>
        </w:rPr>
        <w:t xml:space="preserve">In REDCap:</w:t>
      </w:r>
    </w:p>
    <w:p>
      <w:pPr>
        <w:numPr>
          <w:ilvl w:val="0"/>
          <w:numId w:val="1005"/>
        </w:numPr>
      </w:pPr>
      <w:r>
        <w:t xml:space="preserve">When done filling out all fields, you can save the data and go</w:t>
      </w:r>
      <w:r>
        <w:t xml:space="preserve"> </w:t>
      </w:r>
      <w:r>
        <w:t xml:space="preserve">directly to the next subject by clicking</w:t>
      </w:r>
      <w:r>
        <w:t xml:space="preserve"> </w:t>
      </w:r>
      <w:r>
        <w:t xml:space="preserve">“</w:t>
      </w:r>
      <w:r>
        <w:t xml:space="preserve">Save &amp; Go To Next Record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The last item is</w:t>
      </w:r>
      <w:r>
        <w:t xml:space="preserve"> </w:t>
      </w:r>
      <w:r>
        <w:t xml:space="preserve">“</w:t>
      </w:r>
      <w:r>
        <w:rPr>
          <w:bCs/>
          <w:b/>
        </w:rPr>
        <w:t xml:space="preserve">Complete?</w:t>
      </w:r>
      <w:r>
        <w:t xml:space="preserve">”</w:t>
      </w:r>
      <w:r>
        <w:t xml:space="preserve">. Use</w:t>
      </w:r>
      <w:r>
        <w:t xml:space="preserve"> </w:t>
      </w:r>
      <w:r>
        <w:t xml:space="preserve">“</w:t>
      </w:r>
      <w:r>
        <w:t xml:space="preserve">Incomplete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t xml:space="preserve">interrupted,</w:t>
      </w:r>
      <w:r>
        <w:t xml:space="preserve"> </w:t>
      </w:r>
      <w:r>
        <w:t xml:space="preserve">“</w:t>
      </w:r>
      <w:r>
        <w:t xml:space="preserve">Unverified</w:t>
      </w:r>
      <w:r>
        <w:t xml:space="preserve">”</w:t>
      </w:r>
      <w:r>
        <w:t xml:space="preserve"> </w:t>
      </w:r>
      <w:r>
        <w:t xml:space="preserve">in case of doubt,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when</w:t>
      </w:r>
      <w:r>
        <w:t xml:space="preserve"> </w:t>
      </w:r>
      <w:r>
        <w:t xml:space="preserve">completed.</w:t>
      </w:r>
    </w:p>
    <w:p>
      <w:pPr>
        <w:numPr>
          <w:ilvl w:val="1"/>
          <w:numId w:val="1006"/>
        </w:numPr>
        <w:pStyle w:val="Compact"/>
      </w:pPr>
      <w:r>
        <w:t xml:space="preserve">On the right and at the end of the instrument, there are two</w:t>
      </w:r>
      <w:r>
        <w:t xml:space="preserve"> </w:t>
      </w:r>
      <w:r>
        <w:t xml:space="preserve">blue boxes. The top is</w:t>
      </w:r>
      <w:r>
        <w:t xml:space="preserve"> </w:t>
      </w:r>
      <w:r>
        <w:t xml:space="preserve">“</w:t>
      </w:r>
      <w:r>
        <w:t xml:space="preserve">Save &amp; Exit Form</w:t>
      </w:r>
      <w:r>
        <w:t xml:space="preserve">”</w:t>
      </w:r>
      <w:r>
        <w:t xml:space="preserve">, the second have</w:t>
      </w:r>
      <w:r>
        <w:t xml:space="preserve"> </w:t>
      </w:r>
      <w:r>
        <w:t xml:space="preserve">different options to choose from by clicking the arrow on the</w:t>
      </w:r>
      <w:r>
        <w:t xml:space="preserve"> </w:t>
      </w:r>
      <w:r>
        <w:t xml:space="preserve">right. Choose</w:t>
      </w:r>
      <w:r>
        <w:t xml:space="preserve"> </w:t>
      </w:r>
      <w:r>
        <w:t xml:space="preserve">“</w:t>
      </w:r>
      <w:r>
        <w:t xml:space="preserve">Save &amp; Go To Next Record</w:t>
      </w:r>
      <w:r>
        <w:t xml:space="preserve">”</w:t>
      </w:r>
      <w:r>
        <w:t xml:space="preserve">. Then repeat step 3-8.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redcap.au.dk/redcap_v13.7.21/DataEntry/record_status_dashboard.php?pid=8420&amp;rd_id=31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edcap.au.dk/redcap_v13.7.21/DataEntry/record_status_dashboard.php?pid=8420&amp;rd_id=31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Allocation and workflow</dc:title>
  <dc:creator/>
  <cp:keywords/>
  <dcterms:created xsi:type="dcterms:W3CDTF">2024-03-13T08:58:54Z</dcterms:created>
  <dcterms:modified xsi:type="dcterms:W3CDTF">2024-03-13T08:58:54Z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2024-03-13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