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</w:t>
      </w:r>
      <w:r>
        <w:t xml:space="preserve"> </w:t>
      </w:r>
      <w:r>
        <w:t xml:space="preserve">rater</w:t>
      </w:r>
      <w:r>
        <w:t xml:space="preserve"> </w:t>
      </w:r>
      <w:r>
        <w:t xml:space="preserve">reliability</w:t>
      </w:r>
    </w:p>
    <w:p>
      <w:pPr>
        <w:pStyle w:val="Date"/>
      </w:pPr>
      <w:r>
        <w:t xml:space="preserve">2024-03-11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hort-version"/>
    <w:p>
      <w:pPr>
        <w:pStyle w:val="Heading2"/>
      </w:pPr>
      <w:r>
        <w:t xml:space="preserve">Short version</w:t>
      </w:r>
    </w:p>
    <w:p>
      <w:pPr>
        <w:pStyle w:val="FirstParagraph"/>
      </w:pPr>
      <w:r>
        <w:t xml:space="preserve">Agreement is acceptable for all but atrophy. See calculations in the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My suggestion will be to re-plan. Instead of retraining, I will assign</w:t>
      </w:r>
      <w:r>
        <w:t xml:space="preserve"> </w:t>
      </w:r>
      <w:r>
        <w:t xml:space="preserve">two assessors to each subject. On disagreement, consensus will be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With 8 assessors helping out, each will get to perform a mean of ~250</w:t>
      </w:r>
      <w:r>
        <w:t xml:space="preserve"> </w:t>
      </w:r>
      <w:r>
        <w:t xml:space="preserve">assessments</w:t>
      </w:r>
    </w:p>
    <w:p>
      <w:pPr>
        <w:pStyle w:val="TableCaption"/>
      </w:pPr>
      <w:r>
        <w:t xml:space="preserve">Pros and cons to the new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ros and cons to the new approach"/>
      </w:tblPr>
      <w:tblGrid>
        <w:gridCol w:w="4668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Increased workload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Possibly increased time 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chance of using the data for further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Decreased chance of finishing on time</w:t>
            </w:r>
          </w:p>
        </w:tc>
      </w:tr>
    </w:tbl>
    <w:p>
      <w:pPr>
        <w:pStyle w:val="BodyText"/>
      </w:pPr>
      <w:r>
        <w:rPr>
          <w:bCs/>
          <w:b/>
        </w:rPr>
        <w:t xml:space="preserve">Alternative</w:t>
      </w:r>
      <w:r>
        <w:t xml:space="preserve">: exclude atrophy as a biomarker. The HARNESS initiative</w:t>
      </w:r>
      <w:r>
        <w:t xml:space="preserve"> </w:t>
      </w:r>
      <w:r>
        <w:t xml:space="preserve">as well as the FINESSE framework recommends exactly WMH, lacunes,</w:t>
      </w:r>
      <w:r>
        <w:t xml:space="preserve"> </w:t>
      </w:r>
      <w:r>
        <w:t xml:space="preserve">microbleeds and atrophy as biomarkers.</w:t>
      </w:r>
      <w:r>
        <w:t xml:space="preserve">(Smith et al. 2019; Markus et al. 2022)</w:t>
      </w:r>
    </w:p>
    <w:bookmarkEnd w:id="20"/>
    <w:bookmarkStart w:id="25" w:name="litterature"/>
    <w:p>
      <w:pPr>
        <w:pStyle w:val="Heading2"/>
      </w:pPr>
      <w:r>
        <w:t xml:space="preserve">Litterature</w:t>
      </w:r>
    </w:p>
    <w:p>
      <w:pPr>
        <w:pStyle w:val="FirstParagraph"/>
      </w:pPr>
      <w:r>
        <w:t xml:space="preserve">Staals et al. (2014)</w:t>
      </w:r>
      <w:r>
        <w:t xml:space="preserve"> </w:t>
      </w:r>
      <w:r>
        <w:t xml:space="preserve">reports Intraclass Correlation Coefficient of 0.68-0.92</w:t>
      </w:r>
      <w:r>
        <w:t xml:space="preserve"> </w:t>
      </w:r>
      <w:r>
        <w:t xml:space="preserve">depending on the biomarker. They use different aids to maximise the</w:t>
      </w:r>
      <w:r>
        <w:t xml:space="preserve"> </w:t>
      </w:r>
      <w:r>
        <w:t xml:space="preserve">likelihood of agreement (reference pictures etc.).</w:t>
      </w:r>
    </w:p>
    <w:p>
      <w:pPr>
        <w:pStyle w:val="BodyText"/>
      </w:pPr>
      <w:r>
        <w:t xml:space="preserve">Depending on sources, Fleiss-Kappa or Intraclass Correlation Coefficient</w:t>
      </w:r>
      <w:r>
        <w:t xml:space="preserve"> </w:t>
      </w:r>
      <w:r>
        <w:t xml:space="preserve">(ICC) are argued as the best meassure.</w:t>
      </w:r>
      <w:r>
        <w:t xml:space="preserve"> </w:t>
      </w:r>
      <w:r>
        <w:t xml:space="preserve">Hallgren (2012)</w:t>
      </w:r>
      <w:r>
        <w:t xml:space="preserve"> </w:t>
      </w:r>
      <w:r>
        <w:t xml:space="preserve">recommends using</w:t>
      </w:r>
      <w:r>
        <w:t xml:space="preserve"> </w:t>
      </w:r>
      <w:r>
        <w:t xml:space="preserve">the ICC with multiple assessors and when scores are ordinal. Multiple</w:t>
      </w:r>
      <w:r>
        <w:t xml:space="preserve"> </w:t>
      </w:r>
      <w:r>
        <w:t xml:space="preserve">performance measures are included.</w:t>
      </w:r>
    </w:p>
    <w:p>
      <w:pPr>
        <w:pStyle w:val="BodyText"/>
      </w:pPr>
      <w:r>
        <w:t xml:space="preserve">Here are a few discussions on the topic: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researchgate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cookbook-for-r</w:t>
        </w:r>
      </w:hyperlink>
    </w:p>
    <w:p>
      <w:pPr>
        <w:numPr>
          <w:ilvl w:val="0"/>
          <w:numId w:val="1000"/>
        </w:numPr>
        <w:pStyle w:val="Heading2"/>
      </w:pPr>
      <w:bookmarkStart w:id="23" w:name="data"/>
      <w:r>
        <w:t xml:space="preserve">Data</w:t>
      </w:r>
      <w:bookmarkEnd w:id="2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</w:tbl>
    <w:bookmarkStart w:id="24" w:name="inter-rater-disagreement-examples"/>
    <w:p>
      <w:pPr>
        <w:pStyle w:val="Heading3"/>
      </w:pPr>
      <w:r>
        <w:t xml:space="preserve">Inter-rater-disagreement examples</w:t>
      </w:r>
    </w:p>
    <w:p>
      <w:pPr>
        <w:pStyle w:val="FirstParagraph"/>
      </w:pPr>
      <w:r>
        <w:t xml:space="preserve">Example of overall score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4"/>
    <w:bookmarkEnd w:id="25"/>
    <w:bookmarkStart w:id="26" w:name="calculations"/>
    <w:p>
      <w:pPr>
        <w:pStyle w:val="Heading2"/>
      </w:pPr>
      <w:r>
        <w:t xml:space="preserve">Calculations</w:t>
      </w:r>
    </w:p>
    <w:p>
      <w:pPr>
        <w:pStyle w:val="FirstParagraph"/>
      </w:pPr>
      <w:r>
        <w:t xml:space="preserve">Overall reliability measures on all variables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select(.x)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select(all_of(.x))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0.389447748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3.971007e-01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0.5344182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0.533296331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8.384529e-01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0.604877423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6.102045e-01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0.549903896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5.551565e-01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4.581498e-01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-0.002557545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-1.275022e-15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0.497417440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7.205385e-01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7.904484e-01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0.261944363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4.579298e-01</w:t>
            </w:r>
          </w:p>
        </w:tc>
      </w:tr>
    </w:tbl>
    <w:p>
      <w:pPr>
        <w:pStyle w:val="FirstParagraph"/>
      </w:pPr>
      <w:r>
        <w:t xml:space="preserve">Reliability on simplified 0-4 scale.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0.6635782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0.7050209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0.3192449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0.8003456</w:t>
            </w:r>
          </w:p>
        </w:tc>
      </w:tr>
    </w:tbl>
    <w:bookmarkEnd w:id="26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For the simplified score, the Intraclass Correlations Coefficients for</w:t>
      </w:r>
      <w:r>
        <w:t xml:space="preserve"> </w:t>
      </w:r>
      <w:r>
        <w:t xml:space="preserve">microbleed, lacunes, wmh, atrophy and score is</w:t>
      </w:r>
      <w:r>
        <w:t xml:space="preserve"> </w:t>
      </w:r>
      <w:r>
        <w:t xml:space="preserve">0.66, 0.71, 0.72, 0.32 and 0.8 respectively.</w:t>
      </w:r>
    </w:p>
    <w:bookmarkStart w:id="35" w:name="refs"/>
    <w:bookmarkStart w:id="28" w:name="ref-hallgren2012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23.</w:t>
      </w:r>
      <w:r>
        <w:t xml:space="preserve"> </w:t>
      </w:r>
      <w:hyperlink r:id="rId2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28"/>
    <w:bookmarkStart w:id="30" w:name="ref-markus2022"/>
    <w:p>
      <w:pPr>
        <w:pStyle w:val="Bibliography"/>
      </w:pPr>
      <w:r>
        <w:t xml:space="preserve">Markus, Hugh S., Wiesje M. van Der Flier, Eric E. Smith, Philip Bath, Geert Jan Biessels, Emily Briceno, Amy Brodtman, et al. 2022.</w:t>
      </w:r>
      <w:r>
        <w:t xml:space="preserve"> </w:t>
      </w:r>
      <w:r>
        <w:t xml:space="preserve">“Framework for Clinical Trials in Cerebral Small Vessel Disease (FINESSE).”</w:t>
      </w:r>
      <w:r>
        <w:t xml:space="preserve"> </w:t>
      </w:r>
      <w:r>
        <w:rPr>
          <w:iCs/>
          <w:i/>
        </w:rPr>
        <w:t xml:space="preserve">JAMA Neurology</w:t>
      </w:r>
      <w:r>
        <w:t xml:space="preserve"> </w:t>
      </w:r>
      <w:r>
        <w:t xml:space="preserve">79 (11): 1187.</w:t>
      </w:r>
      <w:r>
        <w:t xml:space="preserve"> </w:t>
      </w:r>
      <w:hyperlink r:id="rId29">
        <w:r>
          <w:rPr>
            <w:rStyle w:val="Hyperlink"/>
          </w:rPr>
          <w:t xml:space="preserve">https://doi.org/10.1001/jamaneurol.2022.2262</w:t>
        </w:r>
      </w:hyperlink>
      <w:r>
        <w:t xml:space="preserve">.</w:t>
      </w:r>
    </w:p>
    <w:bookmarkEnd w:id="30"/>
    <w:bookmarkStart w:id="32" w:name="ref-smith2019"/>
    <w:p>
      <w:pPr>
        <w:pStyle w:val="Bibliography"/>
      </w:pPr>
      <w:r>
        <w:t xml:space="preserve">Smith, Eric E., Geert Jan Biessels, François De Guio, Frank Erik De Leeuw, Simon Duchesne, Marco Düring, Richard Frayne, et al. 2019.</w:t>
      </w:r>
      <w:r>
        <w:t xml:space="preserve"> </w:t>
      </w:r>
      <w:r>
        <w:t xml:space="preserve">“Harmonizing Brain Magnetic Resonance Imaging Methods for Vascular Contributions to Neurodegeneration.”</w:t>
      </w:r>
      <w:r>
        <w:t xml:space="preserve"> </w:t>
      </w:r>
      <w:r>
        <w:t xml:space="preserve">Edited by Jorge Jovicich and Giovanni B. Frisoni.</w:t>
      </w:r>
      <w:r>
        <w:t xml:space="preserve"> </w:t>
      </w:r>
      <w:r>
        <w:rPr>
          <w:iCs/>
          <w:i/>
        </w:rPr>
        <w:t xml:space="preserve">Alzheimer’s &amp; Dementia: Diagnosis, Assessment &amp; Disease Monitoring</w:t>
      </w:r>
      <w:r>
        <w:t xml:space="preserve"> </w:t>
      </w:r>
      <w:r>
        <w:t xml:space="preserve">11 (1): 191–204.</w:t>
      </w:r>
      <w:r>
        <w:t xml:space="preserve"> </w:t>
      </w:r>
      <w:hyperlink r:id="rId31">
        <w:r>
          <w:rPr>
            <w:rStyle w:val="Hyperlink"/>
          </w:rPr>
          <w:t xml:space="preserve">https://doi.org/10.1016/j.dadm.2019.01.002</w:t>
        </w:r>
      </w:hyperlink>
      <w:r>
        <w:t xml:space="preserve">.</w:t>
      </w:r>
    </w:p>
    <w:bookmarkEnd w:id="32"/>
    <w:bookmarkStart w:id="34" w:name="ref-staals2014"/>
    <w:p>
      <w:pPr>
        <w:pStyle w:val="Bibliography"/>
      </w:pPr>
      <w:r>
        <w:t xml:space="preserve">Staals, Julie, Stephen D. J. Makin, Fergus N. Doubal, Martin S. Dennis, and Joanna M. Wardlaw. 2014.</w:t>
      </w:r>
      <w:r>
        <w:t xml:space="preserve"> </w:t>
      </w:r>
      <w:r>
        <w:t xml:space="preserve">“Stroke subtype, vascular risk factors, and total MRI brain small-vessel disease burden.”</w:t>
      </w:r>
      <w:r>
        <w:t xml:space="preserve"> </w:t>
      </w:r>
      <w:r>
        <w:rPr>
          <w:iCs/>
          <w:i/>
        </w:rPr>
        <w:t xml:space="preserve">Neurology</w:t>
      </w:r>
      <w:r>
        <w:t xml:space="preserve"> </w:t>
      </w:r>
      <w:r>
        <w:t xml:space="preserve">83 (14): 1228–34.</w:t>
      </w:r>
      <w:r>
        <w:t xml:space="preserve"> </w:t>
      </w:r>
      <w:hyperlink r:id="rId33">
        <w:r>
          <w:rPr>
            <w:rStyle w:val="Hyperlink"/>
          </w:rPr>
          <w:t xml:space="preserve">https://doi.org/10.1212/WNL.0000000000000837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rater reliability</dc:title>
  <dc:creator/>
  <cp:keywords/>
  <dcterms:created xsi:type="dcterms:W3CDTF">2024-03-11T11:35:30Z</dcterms:created>
  <dcterms:modified xsi:type="dcterms:W3CDTF">2024-03-11T11:35:30Z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2024-03-11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