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Physical</w:t>
      </w:r>
      <w:r>
        <w:t xml:space="preserve"> </w:t>
      </w:r>
      <w:r>
        <w:t xml:space="preserve">activity</w:t>
      </w:r>
      <w:r>
        <w:t xml:space="preserve"> </w:t>
      </w:r>
      <w:r>
        <w:t xml:space="preserve">as</w:t>
      </w:r>
      <w:r>
        <w:t xml:space="preserve"> </w:t>
      </w:r>
      <w:r>
        <w:t xml:space="preserve">an</w:t>
      </w:r>
      <w:r>
        <w:t xml:space="preserve"> </w:t>
      </w:r>
      <w:r>
        <w:t xml:space="preserve">effect</w:t>
      </w:r>
      <w:r>
        <w:t xml:space="preserve"> </w:t>
      </w:r>
      <w:r>
        <w:t xml:space="preserve">modificator</w:t>
      </w:r>
      <w:r>
        <w:t xml:space="preserve"> </w:t>
      </w:r>
      <w:r>
        <w:t xml:space="preserve">of</w:t>
      </w:r>
      <w:r>
        <w:t xml:space="preserve"> </w:t>
      </w:r>
      <w:r>
        <w:t xml:space="preserve">lifestyle</w:t>
      </w:r>
      <w:r>
        <w:t xml:space="preserve"> </w:t>
      </w:r>
      <w:r>
        <w:t xml:space="preserve">factors</w:t>
      </w:r>
      <w:r>
        <w:t xml:space="preserve"> </w:t>
      </w:r>
      <w:r>
        <w:t xml:space="preserve">on</w:t>
      </w:r>
      <w:r>
        <w:t xml:space="preserve"> </w:t>
      </w:r>
      <w:r>
        <w:t xml:space="preserve">small</w:t>
      </w:r>
      <w:r>
        <w:t xml:space="preserve"> </w:t>
      </w:r>
      <w:r>
        <w:t xml:space="preserve">vessel</w:t>
      </w:r>
      <w:r>
        <w:t xml:space="preserve"> </w:t>
      </w:r>
      <w:r>
        <w:t xml:space="preserve">deisease</w:t>
      </w:r>
      <w:r>
        <w:t xml:space="preserve"> </w:t>
      </w:r>
      <w:r>
        <w:t xml:space="preserve">burden</w:t>
      </w:r>
    </w:p>
    <w:p>
      <w:pPr>
        <w:pStyle w:val="AbstractTitle"/>
      </w:pPr>
      <w:r>
        <w:t xml:space="preserve">Abstract</w:t>
      </w:r>
    </w:p>
    <w:p>
      <w:pPr>
        <w:pStyle w:val="Abstract"/>
      </w:pPr>
      <w:r>
        <w:rPr>
          <w:bCs/>
          <w:b/>
        </w:rPr>
        <w:t xml:space="preserve">Background</w:t>
      </w:r>
      <w:r>
        <w:rPr>
          <w:bCs/>
          <w:b/>
        </w:rPr>
        <w:t xml:space="preserve"> </w:t>
      </w:r>
      <w:r>
        <w:rPr>
          <w:bCs/>
          <w:b/>
        </w:rPr>
        <w:t xml:space="preserve">and</w:t>
      </w:r>
      <w:r>
        <w:rPr>
          <w:bCs/>
          <w:b/>
        </w:rPr>
        <w:t xml:space="preserve"> </w:t>
      </w:r>
      <w:r>
        <w:rPr>
          <w:bCs/>
          <w:b/>
        </w:rPr>
        <w:t xml:space="preserve">aims</w:t>
      </w:r>
      <w:r>
        <w:t xml:space="preserve"> </w:t>
      </w:r>
      <w:r>
        <w:t xml:space="preserve">Physical</w:t>
      </w:r>
      <w:r>
        <w:t xml:space="preserve"> </w:t>
      </w:r>
      <w:r>
        <w:t xml:space="preserve">activity</w:t>
      </w:r>
      <w:r>
        <w:t xml:space="preserve"> </w:t>
      </w:r>
      <w:r>
        <w:t xml:space="preserve">(PA)</w:t>
      </w:r>
      <w:r>
        <w:t xml:space="preserve"> </w:t>
      </w:r>
      <w:r>
        <w:t xml:space="preserve">may</w:t>
      </w:r>
      <w:r>
        <w:t xml:space="preserve"> </w:t>
      </w:r>
      <w:r>
        <w:t xml:space="preserve">reduce</w:t>
      </w:r>
      <w:r>
        <w:t xml:space="preserve"> </w:t>
      </w:r>
      <w:r>
        <w:t xml:space="preserve">the</w:t>
      </w:r>
      <w:r>
        <w:t xml:space="preserve"> </w:t>
      </w:r>
      <w:r>
        <w:t xml:space="preserve">development</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The</w:t>
      </w:r>
      <w:r>
        <w:t xml:space="preserve"> </w:t>
      </w:r>
      <w:r>
        <w:t xml:space="preserve">effect</w:t>
      </w:r>
      <w:r>
        <w:t xml:space="preserve"> </w:t>
      </w:r>
      <w:r>
        <w:t xml:space="preserve">of</w:t>
      </w:r>
      <w:r>
        <w:t xml:space="preserve"> </w:t>
      </w:r>
      <w:r>
        <w:t xml:space="preserve">physical</w:t>
      </w:r>
      <w:r>
        <w:t xml:space="preserve"> </w:t>
      </w:r>
      <w:r>
        <w:t xml:space="preserve">activity</w:t>
      </w:r>
      <w:r>
        <w:t xml:space="preserve"> </w:t>
      </w:r>
      <w:r>
        <w:t xml:space="preserve">and</w:t>
      </w:r>
      <w:r>
        <w:t xml:space="preserve"> </w:t>
      </w:r>
      <w:r>
        <w:t xml:space="preserve">more</w:t>
      </w:r>
      <w:r>
        <w:t xml:space="preserve"> </w:t>
      </w:r>
      <w:r>
        <w:t xml:space="preserve">classical</w:t>
      </w:r>
      <w:r>
        <w:t xml:space="preserve"> </w:t>
      </w:r>
      <w:r>
        <w:t xml:space="preserve">vascular</w:t>
      </w:r>
      <w:r>
        <w:t xml:space="preserve"> </w:t>
      </w:r>
      <w:r>
        <w:t xml:space="preserve">risk</w:t>
      </w:r>
      <w:r>
        <w:t xml:space="preserve"> </w:t>
      </w:r>
      <w:r>
        <w:t xml:space="preserve">factors</w:t>
      </w:r>
      <w:r>
        <w:t xml:space="preserve"> </w:t>
      </w:r>
      <w:r>
        <w:t xml:space="preserve">such</w:t>
      </w:r>
      <w:r>
        <w:t xml:space="preserve"> </w:t>
      </w:r>
      <w:r>
        <w:t xml:space="preserve">as</w:t>
      </w:r>
      <w:r>
        <w:t xml:space="preserve"> </w:t>
      </w:r>
      <w:r>
        <w:t xml:space="preserve">hypertension</w:t>
      </w:r>
      <w:r>
        <w:t xml:space="preserve"> </w:t>
      </w:r>
      <w:r>
        <w:t xml:space="preserve">and</w:t>
      </w:r>
      <w:r>
        <w:t xml:space="preserve"> </w:t>
      </w:r>
      <w:r>
        <w:t xml:space="preserve">diabetes</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SVD</w:t>
      </w:r>
      <w:r>
        <w:t xml:space="preserve"> </w:t>
      </w:r>
      <w:r>
        <w:t xml:space="preserve">is</w:t>
      </w:r>
      <w:r>
        <w:t xml:space="preserve"> </w:t>
      </w:r>
      <w:r>
        <w:t xml:space="preserve">debated,</w:t>
      </w:r>
      <w:r>
        <w:t xml:space="preserve"> </w:t>
      </w:r>
      <w:r>
        <w:t xml:space="preserve">however.</w:t>
      </w:r>
      <w:r>
        <w:t xml:space="preserve"> </w:t>
      </w:r>
      <w:r>
        <w:t xml:space="preserve">We</w:t>
      </w:r>
      <w:r>
        <w:t xml:space="preserve"> </w:t>
      </w:r>
      <w:r>
        <w:t xml:space="preserve">aim</w:t>
      </w:r>
      <w:r>
        <w:t xml:space="preserve"> </w:t>
      </w:r>
      <w:r>
        <w:t xml:space="preserve">to</w:t>
      </w:r>
      <w:r>
        <w:t xml:space="preserve"> </w:t>
      </w:r>
      <w:r>
        <w:t xml:space="preserve">investigate</w:t>
      </w:r>
      <w:r>
        <w:t xml:space="preserve"> </w:t>
      </w:r>
      <w:r>
        <w:t xml:space="preserve">the</w:t>
      </w:r>
      <w:r>
        <w:t xml:space="preserve"> </w:t>
      </w:r>
      <w:r>
        <w:t xml:space="preserve">effect</w:t>
      </w:r>
      <w:r>
        <w:t xml:space="preserve"> </w:t>
      </w:r>
      <w:r>
        <w:t xml:space="preserve">modification</w:t>
      </w:r>
      <w:r>
        <w:t xml:space="preserve"> </w:t>
      </w:r>
      <w:r>
        <w:t xml:space="preserve">of</w:t>
      </w:r>
      <w:r>
        <w:t xml:space="preserve"> </w:t>
      </w:r>
      <w:r>
        <w:t xml:space="preserve">physical</w:t>
      </w:r>
      <w:r>
        <w:t xml:space="preserve"> </w:t>
      </w:r>
      <w:r>
        <w:t xml:space="preserve">activity</w:t>
      </w:r>
      <w:r>
        <w:t xml:space="preserve"> </w:t>
      </w:r>
      <w:r>
        <w:t xml:space="preserve">on</w:t>
      </w:r>
      <w:r>
        <w:t xml:space="preserve"> </w:t>
      </w:r>
      <w:r>
        <w:t xml:space="preserve">traditional</w:t>
      </w:r>
      <w:r>
        <w:t xml:space="preserve"> </w:t>
      </w:r>
      <w:r>
        <w:t xml:space="preserve">vascular</w:t>
      </w:r>
      <w:r>
        <w:t xml:space="preserve"> </w:t>
      </w:r>
      <w:r>
        <w:t xml:space="preserve">risk</w:t>
      </w:r>
      <w:r>
        <w:t xml:space="preserve"> </w:t>
      </w:r>
      <w:r>
        <w:t xml:space="preserve">factors</w:t>
      </w:r>
      <w:r>
        <w:t xml:space="preserve"> </w:t>
      </w:r>
      <w:r>
        <w:t xml:space="preserve">and</w:t>
      </w:r>
      <w:r>
        <w:t xml:space="preserve"> </w:t>
      </w:r>
      <w:r>
        <w:t xml:space="preserve">the</w:t>
      </w:r>
      <w:r>
        <w:t xml:space="preserve"> </w:t>
      </w:r>
      <w:r>
        <w:t xml:space="preserve">burden</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among</w:t>
      </w:r>
      <w:r>
        <w:t xml:space="preserve"> </w:t>
      </w:r>
      <w:r>
        <w:t xml:space="preserve">acute</w:t>
      </w:r>
      <w:r>
        <w:t xml:space="preserve"> </w:t>
      </w:r>
      <w:r>
        <w:t xml:space="preserve">ischemic</w:t>
      </w:r>
      <w:r>
        <w:t xml:space="preserve"> </w:t>
      </w:r>
      <w:r>
        <w:t xml:space="preserve">stroke</w:t>
      </w:r>
      <w:r>
        <w:t xml:space="preserve"> </w:t>
      </w:r>
      <w:r>
        <w:t xml:space="preserve">patients.</w:t>
      </w:r>
    </w:p>
    <w:p>
      <w:pPr>
        <w:pStyle w:val="Abstract"/>
      </w:pPr>
      <w:r>
        <w:rPr>
          <w:bCs/>
          <w:b/>
        </w:rPr>
        <w:t xml:space="preserve">Methods</w:t>
      </w:r>
      <w:r>
        <w:t xml:space="preserve"> </w:t>
      </w:r>
      <w:r>
        <w:t xml:space="preserve">We</w:t>
      </w:r>
      <w:r>
        <w:t xml:space="preserve"> </w:t>
      </w:r>
      <w:r>
        <w:t xml:space="preserve">have</w:t>
      </w:r>
      <w:r>
        <w:t xml:space="preserve"> </w:t>
      </w:r>
      <w:r>
        <w:t xml:space="preserve">pooled</w:t>
      </w:r>
      <w:r>
        <w:t xml:space="preserve"> </w:t>
      </w:r>
      <w:r>
        <w:t xml:space="preserve">patients</w:t>
      </w:r>
      <w:r>
        <w:t xml:space="preserve"> </w:t>
      </w:r>
      <w:r>
        <w:t xml:space="preserve">from</w:t>
      </w:r>
      <w:r>
        <w:t xml:space="preserve"> </w:t>
      </w:r>
      <w:r>
        <w:t xml:space="preserve">two</w:t>
      </w:r>
      <w:r>
        <w:t xml:space="preserve"> </w:t>
      </w:r>
      <w:r>
        <w:t xml:space="preserve">clinical</w:t>
      </w:r>
      <w:r>
        <w:t xml:space="preserve"> </w:t>
      </w:r>
      <w:r>
        <w:t xml:space="preserve">trials</w:t>
      </w:r>
      <w:r>
        <w:t xml:space="preserve"> </w:t>
      </w:r>
      <w:r>
        <w:t xml:space="preserve">on</w:t>
      </w:r>
      <w:r>
        <w:t xml:space="preserve"> </w:t>
      </w:r>
      <w:r>
        <w:t xml:space="preserve">acute</w:t>
      </w:r>
      <w:r>
        <w:t xml:space="preserve"> </w:t>
      </w:r>
      <w:r>
        <w:t xml:space="preserve">ischemic</w:t>
      </w:r>
      <w:r>
        <w:t xml:space="preserve"> </w:t>
      </w:r>
      <w:r>
        <w:t xml:space="preserve">stroke</w:t>
      </w:r>
      <w:r>
        <w:t xml:space="preserve"> </w:t>
      </w:r>
      <w:r>
        <w:t xml:space="preserve">treatment.</w:t>
      </w:r>
      <w:r>
        <w:t xml:space="preserve"> </w:t>
      </w:r>
      <w:r>
        <w:t xml:space="preserve">The</w:t>
      </w:r>
      <w:r>
        <w:t xml:space="preserve"> </w:t>
      </w:r>
      <w:r>
        <w:t xml:space="preserve">main</w:t>
      </w:r>
      <w:r>
        <w:t xml:space="preserve"> </w:t>
      </w:r>
      <w:r>
        <w:t xml:space="preserve">outcome</w:t>
      </w:r>
      <w:r>
        <w:t xml:space="preserve"> </w:t>
      </w:r>
      <w:r>
        <w:t xml:space="preserve">is</w:t>
      </w:r>
      <w:r>
        <w:t xml:space="preserve"> </w:t>
      </w:r>
      <w:r>
        <w:t xml:space="preserve">an</w:t>
      </w:r>
      <w:r>
        <w:t xml:space="preserve"> </w:t>
      </w:r>
      <w:r>
        <w:t xml:space="preserve">ordinal</w:t>
      </w:r>
      <w:r>
        <w:t xml:space="preserve"> </w:t>
      </w:r>
      <w:r>
        <w:t xml:space="preserve">scale</w:t>
      </w:r>
      <w:r>
        <w:t xml:space="preserve"> </w:t>
      </w:r>
      <w:r>
        <w:t xml:space="preserve">score</w:t>
      </w:r>
      <w:r>
        <w:t xml:space="preserve"> </w:t>
      </w:r>
      <w:r>
        <w:t xml:space="preserve">of</w:t>
      </w:r>
      <w:r>
        <w:t xml:space="preserve"> </w:t>
      </w:r>
      <w:r>
        <w:t xml:space="preserve">quantified</w:t>
      </w:r>
      <w:r>
        <w:t xml:space="preserve"> </w:t>
      </w:r>
      <w:r>
        <w:t xml:space="preserve">MR</w:t>
      </w:r>
      <w:r>
        <w:t xml:space="preserve"> </w:t>
      </w:r>
      <w:r>
        <w:t xml:space="preserve">biomarkers</w:t>
      </w:r>
      <w:r>
        <w:t xml:space="preserve"> </w:t>
      </w:r>
      <w:r>
        <w:t xml:space="preserve">of</w:t>
      </w:r>
      <w:r>
        <w:t xml:space="preserve"> </w:t>
      </w:r>
      <w:r>
        <w:t xml:space="preserve">small</w:t>
      </w:r>
      <w:r>
        <w:t xml:space="preserve"> </w:t>
      </w:r>
      <w:r>
        <w:t xml:space="preserve">vessel</w:t>
      </w:r>
      <w:r>
        <w:t xml:space="preserve"> </w:t>
      </w:r>
      <w:r>
        <w:t xml:space="preserve">disease</w:t>
      </w:r>
      <w:r>
        <w:t xml:space="preserve"> </w:t>
      </w:r>
      <w:r>
        <w:t xml:space="preserve">(SVD)</w:t>
      </w:r>
      <w:r>
        <w:t xml:space="preserve"> </w:t>
      </w:r>
      <w:r>
        <w:t xml:space="preserve">burden</w:t>
      </w:r>
      <w:r>
        <w:t xml:space="preserve"> </w:t>
      </w:r>
      <w:r>
        <w:t xml:space="preserve">based</w:t>
      </w:r>
      <w:r>
        <w:t xml:space="preserve"> </w:t>
      </w:r>
      <w:r>
        <w:t xml:space="preserve">on</w:t>
      </w:r>
      <w:r>
        <w:t xml:space="preserve"> </w:t>
      </w:r>
      <w:r>
        <w:t xml:space="preserve">visually</w:t>
      </w:r>
      <w:r>
        <w:t xml:space="preserve"> </w:t>
      </w:r>
      <w:r>
        <w:t xml:space="preserve">assessed</w:t>
      </w:r>
      <w:r>
        <w:t xml:space="preserve"> </w:t>
      </w:r>
      <w:r>
        <w:t xml:space="preserve">acute</w:t>
      </w:r>
      <w:r>
        <w:t xml:space="preserve"> </w:t>
      </w:r>
      <w:r>
        <w:t xml:space="preserve">stroke</w:t>
      </w:r>
      <w:r>
        <w:t xml:space="preserve"> </w:t>
      </w:r>
      <w:r>
        <w:t xml:space="preserve">scans</w:t>
      </w:r>
      <w:r>
        <w:t xml:space="preserve"> </w:t>
      </w:r>
      <w:r>
        <w:t xml:space="preserve">(T2*</w:t>
      </w:r>
      <w:r>
        <w:t xml:space="preserve"> </w:t>
      </w:r>
      <w:r>
        <w:t xml:space="preserve">or</w:t>
      </w:r>
      <w:r>
        <w:t xml:space="preserve"> </w:t>
      </w:r>
      <w:r>
        <w:t xml:space="preserve">SWI</w:t>
      </w:r>
      <w:r>
        <w:t xml:space="preserve"> </w:t>
      </w:r>
      <w:r>
        <w:t xml:space="preserve">and</w:t>
      </w:r>
      <w:r>
        <w:t xml:space="preserve"> </w:t>
      </w:r>
      <w:r>
        <w:t xml:space="preserve">FLAIR</w:t>
      </w:r>
      <w:r>
        <w:t xml:space="preserve"> </w:t>
      </w:r>
      <w:r>
        <w:t xml:space="preserve">sequences).</w:t>
      </w:r>
      <w:r>
        <w:t xml:space="preserve"> </w:t>
      </w:r>
      <w:r>
        <w:t xml:space="preserve">Biomarkers</w:t>
      </w:r>
      <w:r>
        <w:t xml:space="preserve"> </w:t>
      </w:r>
      <w:r>
        <w:t xml:space="preserve">includes</w:t>
      </w:r>
      <w:r>
        <w:t xml:space="preserve"> </w:t>
      </w:r>
      <w:r>
        <w:t xml:space="preserve">microbleeds,</w:t>
      </w:r>
      <w:r>
        <w:t xml:space="preserve"> </w:t>
      </w:r>
      <w:r>
        <w:t xml:space="preserve">old</w:t>
      </w:r>
      <w:r>
        <w:t xml:space="preserve"> </w:t>
      </w:r>
      <w:r>
        <w:t xml:space="preserve">lacunar</w:t>
      </w:r>
      <w:r>
        <w:t xml:space="preserve"> </w:t>
      </w:r>
      <w:r>
        <w:t xml:space="preserve">infarcts,</w:t>
      </w:r>
      <w:r>
        <w:t xml:space="preserve"> </w:t>
      </w:r>
      <w:r>
        <w:t xml:space="preserve">superficial</w:t>
      </w:r>
      <w:r>
        <w:t xml:space="preserve"> </w:t>
      </w:r>
      <w:r>
        <w:t xml:space="preserve">siderosis,</w:t>
      </w:r>
      <w:r>
        <w:t xml:space="preserve"> </w:t>
      </w:r>
      <w:r>
        <w:t xml:space="preserve">white</w:t>
      </w:r>
      <w:r>
        <w:t xml:space="preserve"> </w:t>
      </w:r>
      <w:r>
        <w:t xml:space="preserve">matter</w:t>
      </w:r>
      <w:r>
        <w:t xml:space="preserve"> </w:t>
      </w:r>
      <w:r>
        <w:t xml:space="preserve">hyperintensities</w:t>
      </w:r>
      <w:r>
        <w:t xml:space="preserve"> </w:t>
      </w:r>
      <w:r>
        <w:t xml:space="preserve">and</w:t>
      </w:r>
      <w:r>
        <w:t xml:space="preserve"> </w:t>
      </w:r>
      <w:r>
        <w:t xml:space="preserve">atrophy.</w:t>
      </w:r>
      <w:r>
        <w:t xml:space="preserve"> </w:t>
      </w:r>
      <w:r>
        <w:t xml:space="preserve">Covariates</w:t>
      </w:r>
      <w:r>
        <w:t xml:space="preserve"> </w:t>
      </w:r>
      <w:r>
        <w:t xml:space="preserve">includes</w:t>
      </w:r>
      <w:r>
        <w:t xml:space="preserve"> </w:t>
      </w:r>
      <w:r>
        <w:t xml:space="preserve">age,</w:t>
      </w:r>
      <w:r>
        <w:t xml:space="preserve"> </w:t>
      </w:r>
      <w:r>
        <w:t xml:space="preserve">sex,</w:t>
      </w:r>
      <w:r>
        <w:t xml:space="preserve"> </w:t>
      </w:r>
      <w:r>
        <w:t xml:space="preserve">pre-stroke</w:t>
      </w:r>
      <w:r>
        <w:t xml:space="preserve"> </w:t>
      </w:r>
      <w:r>
        <w:t xml:space="preserve">physical</w:t>
      </w:r>
      <w:r>
        <w:t xml:space="preserve"> </w:t>
      </w:r>
      <w:r>
        <w:t xml:space="preserve">activity,</w:t>
      </w:r>
      <w:r>
        <w:t xml:space="preserve"> </w:t>
      </w:r>
      <w:r>
        <w:t xml:space="preserve">diabetes,</w:t>
      </w:r>
      <w:r>
        <w:t xml:space="preserve"> </w:t>
      </w:r>
      <w:r>
        <w:t xml:space="preserve">hypertension,</w:t>
      </w:r>
      <w:r>
        <w:t xml:space="preserve"> </w:t>
      </w:r>
      <w:r>
        <w:t xml:space="preserve">atrial</w:t>
      </w:r>
      <w:r>
        <w:t xml:space="preserve"> </w:t>
      </w:r>
      <w:r>
        <w:t xml:space="preserve">fibrillation</w:t>
      </w:r>
      <w:r>
        <w:t xml:space="preserve"> </w:t>
      </w:r>
      <w:r>
        <w:t xml:space="preserve">and</w:t>
      </w:r>
      <w:r>
        <w:t xml:space="preserve"> </w:t>
      </w:r>
      <w:r>
        <w:t xml:space="preserve">previous</w:t>
      </w:r>
      <w:r>
        <w:t xml:space="preserve"> </w:t>
      </w:r>
      <w:r>
        <w:t xml:space="preserve">cardiovascular</w:t>
      </w:r>
      <w:r>
        <w:t xml:space="preserve"> </w:t>
      </w:r>
      <w:r>
        <w:t xml:space="preserve">diseases.</w:t>
      </w:r>
      <w:r>
        <w:t xml:space="preserve"> </w:t>
      </w:r>
      <w:r>
        <w:t xml:space="preserve">Pre-stroke</w:t>
      </w:r>
      <w:r>
        <w:t xml:space="preserve"> </w:t>
      </w:r>
      <w:r>
        <w:t xml:space="preserve">PA</w:t>
      </w:r>
      <w:r>
        <w:t xml:space="preserve"> </w:t>
      </w:r>
      <w:r>
        <w:t xml:space="preserve">was</w:t>
      </w:r>
      <w:r>
        <w:t xml:space="preserve"> </w:t>
      </w:r>
      <w:r>
        <w:t xml:space="preserve">assessed</w:t>
      </w:r>
      <w:r>
        <w:t xml:space="preserve"> </w:t>
      </w:r>
      <w:r>
        <w:t xml:space="preserve">with</w:t>
      </w:r>
      <w:r>
        <w:t xml:space="preserve"> </w:t>
      </w:r>
      <w:r>
        <w:t xml:space="preserve">a</w:t>
      </w:r>
      <w:r>
        <w:t xml:space="preserve"> </w:t>
      </w:r>
      <w:r>
        <w:t xml:space="preserve">questionnaire</w:t>
      </w:r>
      <w:r>
        <w:t xml:space="preserve"> </w:t>
      </w:r>
      <w:r>
        <w:t xml:space="preserve">on</w:t>
      </w:r>
      <w:r>
        <w:t xml:space="preserve"> </w:t>
      </w:r>
      <w:r>
        <w:t xml:space="preserve">inclusion</w:t>
      </w:r>
      <w:r>
        <w:t xml:space="preserve"> </w:t>
      </w:r>
      <w:r>
        <w:t xml:space="preserve">within</w:t>
      </w:r>
      <w:r>
        <w:t xml:space="preserve"> </w:t>
      </w:r>
      <w:r>
        <w:t xml:space="preserve">a</w:t>
      </w:r>
      <w:r>
        <w:t xml:space="preserve"> </w:t>
      </w:r>
      <w:r>
        <w:t xml:space="preserve">few</w:t>
      </w:r>
      <w:r>
        <w:t xml:space="preserve"> </w:t>
      </w:r>
      <w:r>
        <w:t xml:space="preserve">days</w:t>
      </w:r>
      <w:r>
        <w:t xml:space="preserve"> </w:t>
      </w:r>
      <w:r>
        <w:t xml:space="preserve">after</w:t>
      </w:r>
      <w:r>
        <w:t xml:space="preserve"> </w:t>
      </w:r>
      <w:r>
        <w:t xml:space="preserve">stroke</w:t>
      </w:r>
      <w:r>
        <w:t xml:space="preserve"> </w:t>
      </w:r>
      <w:r>
        <w:t xml:space="preserve">onset.</w:t>
      </w:r>
      <w:r>
        <w:t xml:space="preserve"> </w:t>
      </w:r>
      <w:r>
        <w:t xml:space="preserve">Data</w:t>
      </w:r>
      <w:r>
        <w:t xml:space="preserve"> </w:t>
      </w:r>
      <w:r>
        <w:t xml:space="preserve">will</w:t>
      </w:r>
      <w:r>
        <w:t xml:space="preserve"> </w:t>
      </w:r>
      <w:r>
        <w:t xml:space="preserve">be</w:t>
      </w:r>
      <w:r>
        <w:t xml:space="preserve"> </w:t>
      </w:r>
      <w:r>
        <w:t xml:space="preserve">analyzed</w:t>
      </w:r>
      <w:r>
        <w:t xml:space="preserve"> </w:t>
      </w:r>
      <w:r>
        <w:t xml:space="preserve">using</w:t>
      </w:r>
      <w:r>
        <w:t xml:space="preserve"> </w:t>
      </w:r>
      <w:r>
        <w:t xml:space="preserve">bivariate</w:t>
      </w:r>
      <w:r>
        <w:t xml:space="preserve"> </w:t>
      </w:r>
      <w:r>
        <w:t xml:space="preserve">and</w:t>
      </w:r>
      <w:r>
        <w:t xml:space="preserve"> </w:t>
      </w:r>
      <w:r>
        <w:t xml:space="preserve">multivariate</w:t>
      </w:r>
      <w:r>
        <w:t xml:space="preserve"> </w:t>
      </w:r>
      <w:r>
        <w:t xml:space="preserve">linear</w:t>
      </w:r>
      <w:r>
        <w:t xml:space="preserve"> </w:t>
      </w:r>
      <w:r>
        <w:t xml:space="preserve">regression</w:t>
      </w:r>
      <w:r>
        <w:t xml:space="preserve"> </w:t>
      </w:r>
      <w:r>
        <w:t xml:space="preserve">analysis.</w:t>
      </w:r>
    </w:p>
    <w:p>
      <w:pPr>
        <w:pStyle w:val="Abstract"/>
      </w:pPr>
      <w:r>
        <w:rPr>
          <w:bCs/>
          <w:b/>
        </w:rPr>
        <w:t xml:space="preserve">Results</w:t>
      </w:r>
      <w:r>
        <w:t xml:space="preserve"> </w:t>
      </w:r>
      <w:r>
        <w:t xml:space="preserve">We</w:t>
      </w:r>
      <w:r>
        <w:t xml:space="preserve"> </w:t>
      </w:r>
      <w:r>
        <w:t xml:space="preserve">expect</w:t>
      </w:r>
      <w:r>
        <w:t xml:space="preserve"> </w:t>
      </w:r>
      <w:r>
        <w:t xml:space="preserve">to</w:t>
      </w:r>
      <w:r>
        <w:t xml:space="preserve"> </w:t>
      </w:r>
      <w:r>
        <w:t xml:space="preserve">include</w:t>
      </w:r>
      <w:r>
        <w:t xml:space="preserve"> </w:t>
      </w:r>
      <w:r>
        <w:t xml:space="preserve">a</w:t>
      </w:r>
      <w:r>
        <w:t xml:space="preserve"> </w:t>
      </w:r>
      <w:r>
        <w:t xml:space="preserve">total</w:t>
      </w:r>
      <w:r>
        <w:t xml:space="preserve"> </w:t>
      </w:r>
      <w:r>
        <w:t xml:space="preserve">of</w:t>
      </w:r>
      <w:r>
        <w:t xml:space="preserve"> </w:t>
      </w:r>
      <w:r>
        <w:t xml:space="preserve">around</w:t>
      </w:r>
      <w:r>
        <w:t xml:space="preserve"> </w:t>
      </w:r>
      <w:r>
        <w:t xml:space="preserve">1000</w:t>
      </w:r>
      <w:r>
        <w:t xml:space="preserve"> </w:t>
      </w:r>
      <w:r>
        <w:t xml:space="preserve">adult</w:t>
      </w:r>
      <w:r>
        <w:t xml:space="preserve"> </w:t>
      </w:r>
      <w:r>
        <w:t xml:space="preserve">patients</w:t>
      </w:r>
      <w:r>
        <w:t xml:space="preserve"> </w:t>
      </w:r>
      <w:r>
        <w:t xml:space="preserve">admitted</w:t>
      </w:r>
      <w:r>
        <w:t xml:space="preserve"> </w:t>
      </w:r>
      <w:r>
        <w:t xml:space="preserve">to</w:t>
      </w:r>
      <w:r>
        <w:t xml:space="preserve"> </w:t>
      </w:r>
      <w:r>
        <w:t xml:space="preserve">the</w:t>
      </w:r>
      <w:r>
        <w:t xml:space="preserve"> </w:t>
      </w:r>
      <w:r>
        <w:t xml:space="preserve">comprehensive</w:t>
      </w:r>
      <w:r>
        <w:t xml:space="preserve"> </w:t>
      </w:r>
      <w:r>
        <w:t xml:space="preserve">stroke</w:t>
      </w:r>
      <w:r>
        <w:t xml:space="preserve"> </w:t>
      </w:r>
      <w:r>
        <w:t xml:space="preserve">centre</w:t>
      </w:r>
      <w:r>
        <w:t xml:space="preserve"> </w:t>
      </w:r>
      <w:r>
        <w:t xml:space="preserve">at</w:t>
      </w:r>
      <w:r>
        <w:t xml:space="preserve"> </w:t>
      </w:r>
      <w:r>
        <w:t xml:space="preserve">Aarhus</w:t>
      </w:r>
      <w:r>
        <w:t xml:space="preserve"> </w:t>
      </w:r>
      <w:r>
        <w:t xml:space="preserve">University</w:t>
      </w:r>
      <w:r>
        <w:t xml:space="preserve"> </w:t>
      </w:r>
      <w:r>
        <w:t xml:space="preserve">Hospital</w:t>
      </w:r>
      <w:r>
        <w:t xml:space="preserve"> </w:t>
      </w:r>
      <w:r>
        <w:t xml:space="preserve">between</w:t>
      </w:r>
      <w:r>
        <w:t xml:space="preserve"> </w:t>
      </w:r>
      <w:r>
        <w:t xml:space="preserve">2013-2022.</w:t>
      </w:r>
      <w:r>
        <w:t xml:space="preserve"> </w:t>
      </w:r>
      <w:r>
        <w:t xml:space="preserve">Preliminary</w:t>
      </w:r>
      <w:r>
        <w:t xml:space="preserve"> </w:t>
      </w:r>
      <w:r>
        <w:t xml:space="preserve">results</w:t>
      </w:r>
      <w:r>
        <w:t xml:space="preserve"> </w:t>
      </w:r>
      <w:r>
        <w:t xml:space="preserve">will</w:t>
      </w:r>
      <w:r>
        <w:t xml:space="preserve"> </w:t>
      </w:r>
      <w:r>
        <w:t xml:space="preserve">be</w:t>
      </w:r>
      <w:r>
        <w:t xml:space="preserve"> </w:t>
      </w:r>
      <w:r>
        <w:t xml:space="preserve">presented</w:t>
      </w:r>
      <w:r>
        <w:t xml:space="preserve"> </w:t>
      </w:r>
      <w:r>
        <w:t xml:space="preserve">at</w:t>
      </w:r>
      <w:r>
        <w:t xml:space="preserve"> </w:t>
      </w:r>
      <w:r>
        <w:t xml:space="preserve">ESOC</w:t>
      </w:r>
      <w:r>
        <w:t xml:space="preserve"> </w:t>
      </w:r>
      <w:r>
        <w:t xml:space="preserve">2024.</w:t>
      </w:r>
    </w:p>
    <w:p>
      <w:pPr>
        <w:pStyle w:val="Abstract"/>
      </w:pPr>
      <w:r>
        <w:rPr>
          <w:bCs/>
          <w:b/>
        </w:rPr>
        <w:t xml:space="preserve">Conclusions</w:t>
      </w:r>
      <w:r>
        <w:t xml:space="preserve"> </w:t>
      </w:r>
      <w:r>
        <w:t xml:space="preserve">Physical</w:t>
      </w:r>
      <w:r>
        <w:t xml:space="preserve"> </w:t>
      </w:r>
      <w:r>
        <w:t xml:space="preserve">activity</w:t>
      </w:r>
      <w:r>
        <w:t xml:space="preserve"> </w:t>
      </w:r>
      <w:r>
        <w:t xml:space="preserve">may</w:t>
      </w:r>
      <w:r>
        <w:t xml:space="preserve"> </w:t>
      </w:r>
      <w:r>
        <w:t xml:space="preserve">be</w:t>
      </w:r>
      <w:r>
        <w:t xml:space="preserve"> </w:t>
      </w:r>
      <w:r>
        <w:t xml:space="preserve">an</w:t>
      </w:r>
      <w:r>
        <w:t xml:space="preserve"> </w:t>
      </w:r>
      <w:r>
        <w:t xml:space="preserve">important</w:t>
      </w:r>
      <w:r>
        <w:t xml:space="preserve"> </w:t>
      </w:r>
      <w:r>
        <w:t xml:space="preserve">factor</w:t>
      </w:r>
      <w:r>
        <w:t xml:space="preserve"> </w:t>
      </w:r>
      <w:r>
        <w:t xml:space="preserve">in</w:t>
      </w:r>
      <w:r>
        <w:t xml:space="preserve"> </w:t>
      </w:r>
      <w:r>
        <w:t xml:space="preserve">modifying</w:t>
      </w:r>
      <w:r>
        <w:t xml:space="preserve"> </w:t>
      </w:r>
      <w:r>
        <w:t xml:space="preserve">the</w:t>
      </w:r>
      <w:r>
        <w:t xml:space="preserve"> </w:t>
      </w:r>
      <w:r>
        <w:t xml:space="preserve">risk</w:t>
      </w:r>
      <w:r>
        <w:t xml:space="preserve"> </w:t>
      </w:r>
      <w:r>
        <w:t xml:space="preserve">of</w:t>
      </w:r>
      <w:r>
        <w:t xml:space="preserve"> </w:t>
      </w:r>
      <w:r>
        <w:t xml:space="preserve">SVD</w:t>
      </w:r>
      <w:r>
        <w:t xml:space="preserve"> </w:t>
      </w:r>
      <w:r>
        <w:t xml:space="preserve">development</w:t>
      </w:r>
      <w:r>
        <w:t xml:space="preserve"> </w:t>
      </w:r>
      <w:r>
        <w:t xml:space="preserve">in</w:t>
      </w:r>
      <w:r>
        <w:t xml:space="preserve"> </w:t>
      </w:r>
      <w:r>
        <w:t xml:space="preserve">stroke</w:t>
      </w:r>
      <w:r>
        <w:t xml:space="preserve"> </w:t>
      </w:r>
      <w:r>
        <w:t xml:space="preserve">patients.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2" w:name="introduction"/>
    <w:p>
      <w:pPr>
        <w:pStyle w:val="Heading2"/>
      </w:pPr>
      <w:r>
        <w:t xml:space="preserve">Introduction</w:t>
      </w:r>
    </w:p>
    <w:p>
      <w:pPr>
        <w:pStyle w:val="FirstParagraph"/>
      </w:pPr>
      <w:r>
        <w:t xml:space="preserve">THe correlation between physical activity, small vessel disease and classical risk factors is very much debated and not fully understood.</w:t>
      </w:r>
      <w:r>
        <w:t xml:space="preserve">(Moniruzzaman et al. 2020; Torres et al. 2019; Landman et al. 2021)</w:t>
      </w:r>
    </w:p>
    <w:p>
      <w:pPr>
        <w:pStyle w:val="BodyText"/>
      </w:pPr>
      <w:r>
        <w:t xml:space="preserve">In this abstract, we present the preliminary results from our pooled SVD study, also presented at</w:t>
      </w:r>
      <w:r>
        <w:t xml:space="preserve"> </w:t>
      </w:r>
      <w:hyperlink r:id="rId21">
        <w:r>
          <w:rPr>
            <w:rStyle w:val="Hyperlink"/>
          </w:rPr>
          <w:t xml:space="preserve">ESOC 2024</w:t>
        </w:r>
      </w:hyperlink>
      <w:r>
        <w:t xml:space="preserve">.</w:t>
      </w:r>
    </w:p>
    <w:bookmarkEnd w:id="22"/>
    <w:bookmarkStart w:id="23" w:name="methods"/>
    <w:p>
      <w:pPr>
        <w:pStyle w:val="Heading2"/>
      </w:pPr>
      <w:r>
        <w:t xml:space="preserve">Methods</w:t>
      </w:r>
    </w:p>
    <w:p>
      <w:pPr>
        <w:pStyle w:val="FirstParagraph"/>
      </w:pPr>
      <w:r>
        <w:t xml:space="preserve">This study is a cross-sectional study, based on a pooled dataset from two different randomised, clinical trials on patients with acute stroke.</w:t>
      </w:r>
    </w:p>
    <w:bookmarkEnd w:id="23"/>
    <w:bookmarkStart w:id="40" w:name="results"/>
    <w:p>
      <w:pPr>
        <w:pStyle w:val="Heading2"/>
      </w:pPr>
      <w:r>
        <w:t xml:space="preserve">Results</w:t>
      </w:r>
    </w:p>
    <w:p>
      <w:pPr>
        <w:pStyle w:val="FirstParagraph"/>
      </w:pPr>
      <w:r>
        <w:t xml:space="preserve">Please refer to</w:t>
      </w:r>
      <w:r>
        <w:t xml:space="preserve"> </w:t>
      </w:r>
      <w:hyperlink w:anchor="fig-flowchart">
        <w:r>
          <w:rPr>
            <w:rStyle w:val="Hyperlink"/>
          </w:rPr>
          <w:t xml:space="preserve">Figure 1</w:t>
        </w:r>
      </w:hyperlink>
      <w:r>
        <w:t xml:space="preserve"> </w:t>
      </w:r>
      <w:r>
        <w:t xml:space="preserve">for an overview of subjects included for analysis.</w:t>
      </w:r>
    </w:p>
    <w:tbl>
      <w:tblPr>
        <w:tblStyle w:val="Table"/>
        <w:tblW w:type="pct" w:w="5000"/>
        <w:tblLook w:firstRow="0" w:lastRow="0" w:firstColumn="0" w:lastColumn="0" w:noHBand="0" w:noVBand="0" w:val="0000"/>
        <w:jc w:val="start"/>
        <w:tblLayout w:type="fixed"/>
      </w:tblPr>
      <w:tblGrid>
        <w:gridCol w:w="7920"/>
      </w:tblGrid>
      <w:tr>
        <w:tc>
          <w:tcPr/>
          <w:bookmarkStart w:id="27" w:name="fig-flowchart"/>
          <w:p>
            <w:pPr>
              <w:jc w:val="center"/>
            </w:pPr>
            <w:r>
              <w:drawing>
                <wp:inline>
                  <wp:extent cx="4572000" cy="3657600"/>
                  <wp:effectExtent b="0" l="0" r="0" t="0"/>
                  <wp:docPr descr="" title="" id="25" name="Picture"/>
                  <a:graphic>
                    <a:graphicData uri="http://schemas.openxmlformats.org/drawingml/2006/picture">
                      <pic:pic>
                        <pic:nvPicPr>
                          <pic:cNvPr descr="index_files/figure-docx/dot-figure-1.png" id="26" name="Picture"/>
                          <pic:cNvPicPr>
                            <a:picLocks noChangeArrowheads="1" noChangeAspect="1"/>
                          </pic:cNvPicPr>
                        </pic:nvPicPr>
                        <pic:blipFill>
                          <a:blip r:embed="rId24"/>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subject included for analysis</w:t>
            </w:r>
          </w:p>
          <w:bookmarkEnd w:id="2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Baseline characteristics are included with the</w:t>
      </w:r>
      <w:r>
        <w:t xml:space="preserve"> </w:t>
      </w:r>
      <w:hyperlink w:anchor="tbl-baseline">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tbl-baseline"/>
          <w:p>
            <w:pPr>
              <w:jc w:val="center"/>
            </w:pPr>
            <w:pPr>
              <w:jc w:val="start"/>
              <w:spacing w:before="200"/>
              <w:pStyle w:val="ImageCaption"/>
            </w:pPr>
            <w:r>
              <w:t xml:space="preserve">Table 1: Baseline values SVD burden score</w:t>
            </w:r>
          </w:p>
          <w:tbl>
            <w:tblPr>
              <w:tblStyle w:val="Table"/>
              <w:tblW w:type="pct" w:w="5000"/>
              <w:tblLook w:firstRow="1" w:lastRow="0" w:firstColumn="0" w:lastColumn="0" w:noHBand="0" w:noVBand="0" w:val="0020"/>
              <w:jc w:val="start"/>
              <w:tblLayout w:type="fixed"/>
            </w:tblPr>
            <w:tblGrid>
              <w:gridCol w:w="2074"/>
              <w:gridCol w:w="2074"/>
              <w:gridCol w:w="1980"/>
              <w:gridCol w:w="1791"/>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Overall</w:t>
                  </w:r>
                  <w:r>
                    <w:t xml:space="preserve">, N = 765</w:t>
                  </w:r>
                </w:p>
              </w:tc>
              <w:tc>
                <w:tcPr/>
                <w:p>
                  <w:pPr>
                    <w:pStyle w:val="Compact"/>
                    <w:jc w:val="center"/>
                    <w:jc w:val="center"/>
                  </w:pPr>
                  <w:r>
                    <w:rPr>
                      <w:bCs/>
                      <w:b/>
                    </w:rPr>
                    <w:t xml:space="preserve">Female</w:t>
                  </w:r>
                  <w:r>
                    <w:t xml:space="preserve">, N = 280</w:t>
                  </w:r>
                </w:p>
              </w:tc>
              <w:tc>
                <w:tcPr/>
                <w:p>
                  <w:pPr>
                    <w:pStyle w:val="Compact"/>
                    <w:jc w:val="center"/>
                    <w:jc w:val="center"/>
                  </w:pPr>
                  <w:r>
                    <w:rPr>
                      <w:bCs/>
                      <w:b/>
                    </w:rPr>
                    <w:t xml:space="preserve">Male</w:t>
                  </w:r>
                  <w:r>
                    <w:t xml:space="preserve">, N = 485</w:t>
                  </w:r>
                </w:p>
              </w:tc>
            </w:tr>
            <w:tr>
              <w:tc>
                <w:tcPr/>
                <w:p>
                  <w:pPr>
                    <w:pStyle w:val="Compact"/>
                    <w:jc w:val="left"/>
                    <w:jc w:val="center"/>
                  </w:pPr>
                  <w:r>
                    <w:t xml:space="preserve">SVD score</w:t>
                  </w:r>
                </w:p>
              </w:tc>
              <w:tc>
                <w:tcPr/>
                <w:p>
                  <w:pPr>
                    <w:pStyle w:val="Compact"/>
                  </w:pPr>
                </w:p>
              </w:tc>
              <w:tc>
                <w:tcPr/>
                <w:p>
                  <w:pPr>
                    <w:pStyle w:val="Compact"/>
                  </w:pPr>
                </w:p>
              </w:tc>
              <w:tc>
                <w:tcPr/>
                <w:p>
                  <w:pPr>
                    <w:pStyle w:val="Compact"/>
                  </w:pPr>
                </w:p>
              </w:tc>
            </w:tr>
            <w:tr>
              <w:tc>
                <w:tcPr/>
                <w:p>
                  <w:pPr>
                    <w:pStyle w:val="Compact"/>
                    <w:jc w:val="left"/>
                    <w:jc w:val="center"/>
                  </w:pPr>
                  <w:r>
                    <w:t xml:space="preserve">0</w:t>
                  </w:r>
                </w:p>
              </w:tc>
              <w:tc>
                <w:tcPr/>
                <w:p>
                  <w:pPr>
                    <w:pStyle w:val="Compact"/>
                    <w:jc w:val="center"/>
                    <w:jc w:val="center"/>
                  </w:pPr>
                  <w:r>
                    <w:t xml:space="preserve">302 (39%)</w:t>
                  </w:r>
                </w:p>
              </w:tc>
              <w:tc>
                <w:tcPr/>
                <w:p>
                  <w:pPr>
                    <w:pStyle w:val="Compact"/>
                    <w:jc w:val="center"/>
                    <w:jc w:val="center"/>
                  </w:pPr>
                  <w:r>
                    <w:t xml:space="preserve">105 (38%)</w:t>
                  </w:r>
                </w:p>
              </w:tc>
              <w:tc>
                <w:tcPr/>
                <w:p>
                  <w:pPr>
                    <w:pStyle w:val="Compact"/>
                    <w:jc w:val="center"/>
                    <w:jc w:val="center"/>
                  </w:pPr>
                  <w:r>
                    <w:t xml:space="preserve">197 (41%)</w:t>
                  </w:r>
                </w:p>
              </w:tc>
            </w:tr>
            <w:tr>
              <w:tc>
                <w:tcPr/>
                <w:p>
                  <w:pPr>
                    <w:pStyle w:val="Compact"/>
                    <w:jc w:val="left"/>
                    <w:jc w:val="center"/>
                  </w:pPr>
                  <w:r>
                    <w:t xml:space="preserve">1</w:t>
                  </w:r>
                </w:p>
              </w:tc>
              <w:tc>
                <w:tcPr/>
                <w:p>
                  <w:pPr>
                    <w:pStyle w:val="Compact"/>
                    <w:jc w:val="center"/>
                    <w:jc w:val="center"/>
                  </w:pPr>
                  <w:r>
                    <w:t xml:space="preserve">216 (28%)</w:t>
                  </w:r>
                </w:p>
              </w:tc>
              <w:tc>
                <w:tcPr/>
                <w:p>
                  <w:pPr>
                    <w:pStyle w:val="Compact"/>
                    <w:jc w:val="center"/>
                    <w:jc w:val="center"/>
                  </w:pPr>
                  <w:r>
                    <w:t xml:space="preserve">75 (27%)</w:t>
                  </w:r>
                </w:p>
              </w:tc>
              <w:tc>
                <w:tcPr/>
                <w:p>
                  <w:pPr>
                    <w:pStyle w:val="Compact"/>
                    <w:jc w:val="center"/>
                    <w:jc w:val="center"/>
                  </w:pPr>
                  <w:r>
                    <w:t xml:space="preserve">141 (29%)</w:t>
                  </w:r>
                </w:p>
              </w:tc>
            </w:tr>
            <w:tr>
              <w:tc>
                <w:tcPr/>
                <w:p>
                  <w:pPr>
                    <w:pStyle w:val="Compact"/>
                    <w:jc w:val="left"/>
                    <w:jc w:val="center"/>
                  </w:pPr>
                  <w:r>
                    <w:t xml:space="preserve">2</w:t>
                  </w:r>
                </w:p>
              </w:tc>
              <w:tc>
                <w:tcPr/>
                <w:p>
                  <w:pPr>
                    <w:pStyle w:val="Compact"/>
                    <w:jc w:val="center"/>
                    <w:jc w:val="center"/>
                  </w:pPr>
                  <w:r>
                    <w:t xml:space="preserve">142 (19%)</w:t>
                  </w:r>
                </w:p>
              </w:tc>
              <w:tc>
                <w:tcPr/>
                <w:p>
                  <w:pPr>
                    <w:pStyle w:val="Compact"/>
                    <w:jc w:val="center"/>
                    <w:jc w:val="center"/>
                  </w:pPr>
                  <w:r>
                    <w:t xml:space="preserve">61 (22%)</w:t>
                  </w:r>
                </w:p>
              </w:tc>
              <w:tc>
                <w:tcPr/>
                <w:p>
                  <w:pPr>
                    <w:pStyle w:val="Compact"/>
                    <w:jc w:val="center"/>
                    <w:jc w:val="center"/>
                  </w:pPr>
                  <w:r>
                    <w:t xml:space="preserve">81 (17%)</w:t>
                  </w:r>
                </w:p>
              </w:tc>
            </w:tr>
            <w:tr>
              <w:tc>
                <w:tcPr/>
                <w:p>
                  <w:pPr>
                    <w:pStyle w:val="Compact"/>
                    <w:jc w:val="left"/>
                    <w:jc w:val="center"/>
                  </w:pPr>
                  <w:r>
                    <w:t xml:space="preserve">3</w:t>
                  </w:r>
                </w:p>
              </w:tc>
              <w:tc>
                <w:tcPr/>
                <w:p>
                  <w:pPr>
                    <w:pStyle w:val="Compact"/>
                    <w:jc w:val="center"/>
                    <w:jc w:val="center"/>
                  </w:pPr>
                  <w:r>
                    <w:t xml:space="preserve">71 (9.3%)</w:t>
                  </w:r>
                </w:p>
              </w:tc>
              <w:tc>
                <w:tcPr/>
                <w:p>
                  <w:pPr>
                    <w:pStyle w:val="Compact"/>
                    <w:jc w:val="center"/>
                    <w:jc w:val="center"/>
                  </w:pPr>
                  <w:r>
                    <w:t xml:space="preserve">29 (10%)</w:t>
                  </w:r>
                </w:p>
              </w:tc>
              <w:tc>
                <w:tcPr/>
                <w:p>
                  <w:pPr>
                    <w:pStyle w:val="Compact"/>
                    <w:jc w:val="center"/>
                    <w:jc w:val="center"/>
                  </w:pPr>
                  <w:r>
                    <w:t xml:space="preserve">42 (8.7%)</w:t>
                  </w:r>
                </w:p>
              </w:tc>
            </w:tr>
            <w:tr>
              <w:tc>
                <w:tcPr/>
                <w:p>
                  <w:pPr>
                    <w:pStyle w:val="Compact"/>
                    <w:jc w:val="left"/>
                    <w:jc w:val="center"/>
                  </w:pPr>
                  <w:r>
                    <w:t xml:space="preserve">4</w:t>
                  </w:r>
                </w:p>
              </w:tc>
              <w:tc>
                <w:tcPr/>
                <w:p>
                  <w:pPr>
                    <w:pStyle w:val="Compact"/>
                    <w:jc w:val="center"/>
                    <w:jc w:val="center"/>
                  </w:pPr>
                  <w:r>
                    <w:t xml:space="preserve">34 (4.4%)</w:t>
                  </w:r>
                </w:p>
              </w:tc>
              <w:tc>
                <w:tcPr/>
                <w:p>
                  <w:pPr>
                    <w:pStyle w:val="Compact"/>
                    <w:jc w:val="center"/>
                    <w:jc w:val="center"/>
                  </w:pPr>
                  <w:r>
                    <w:t xml:space="preserve">10 (3.6%)</w:t>
                  </w:r>
                </w:p>
              </w:tc>
              <w:tc>
                <w:tcPr/>
                <w:p>
                  <w:pPr>
                    <w:pStyle w:val="Compact"/>
                    <w:jc w:val="center"/>
                    <w:jc w:val="center"/>
                  </w:pPr>
                  <w:r>
                    <w:t xml:space="preserve">24 (4.9%)</w:t>
                  </w:r>
                </w:p>
              </w:tc>
            </w:tr>
            <w:tr>
              <w:tc>
                <w:tcPr/>
                <w:p>
                  <w:pPr>
                    <w:pStyle w:val="Compact"/>
                    <w:jc w:val="left"/>
                    <w:jc w:val="center"/>
                  </w:pPr>
                  <w:r>
                    <w:t xml:space="preserve">Age</w:t>
                  </w:r>
                </w:p>
              </w:tc>
              <w:tc>
                <w:tcPr/>
                <w:p>
                  <w:pPr>
                    <w:pStyle w:val="Compact"/>
                    <w:jc w:val="center"/>
                    <w:jc w:val="center"/>
                  </w:pPr>
                  <w:r>
                    <w:t xml:space="preserve">71 (62, 79)</w:t>
                  </w:r>
                </w:p>
              </w:tc>
              <w:tc>
                <w:tcPr/>
                <w:p>
                  <w:pPr>
                    <w:pStyle w:val="Compact"/>
                    <w:jc w:val="center"/>
                    <w:jc w:val="center"/>
                  </w:pPr>
                  <w:r>
                    <w:t xml:space="preserve">75 (64, 80)</w:t>
                  </w:r>
                </w:p>
              </w:tc>
              <w:tc>
                <w:tcPr/>
                <w:p>
                  <w:pPr>
                    <w:pStyle w:val="Compact"/>
                    <w:jc w:val="center"/>
                    <w:jc w:val="center"/>
                  </w:pPr>
                  <w:r>
                    <w:t xml:space="preserve">70 (61, 77)</w:t>
                  </w:r>
                </w:p>
              </w:tc>
            </w:tr>
            <w:tr>
              <w:tc>
                <w:tcPr/>
                <w:p>
                  <w:pPr>
                    <w:pStyle w:val="Compact"/>
                    <w:jc w:val="left"/>
                    <w:jc w:val="center"/>
                  </w:pPr>
                  <w:r>
                    <w:t xml:space="preserve">Admission NIHSS</w:t>
                  </w:r>
                </w:p>
              </w:tc>
              <w:tc>
                <w:tcPr/>
                <w:p>
                  <w:pPr>
                    <w:pStyle w:val="Compact"/>
                    <w:jc w:val="center"/>
                    <w:jc w:val="center"/>
                  </w:pPr>
                  <w:r>
                    <w:t xml:space="preserve">4.0 (2.0, 7.0)</w:t>
                  </w:r>
                </w:p>
              </w:tc>
              <w:tc>
                <w:tcPr/>
                <w:p>
                  <w:pPr>
                    <w:pStyle w:val="Compact"/>
                    <w:jc w:val="center"/>
                    <w:jc w:val="center"/>
                  </w:pPr>
                  <w:r>
                    <w:t xml:space="preserve">4.0 (2.0, 8.0)</w:t>
                  </w:r>
                </w:p>
              </w:tc>
              <w:tc>
                <w:tcPr/>
                <w:p>
                  <w:pPr>
                    <w:pStyle w:val="Compact"/>
                    <w:jc w:val="center"/>
                    <w:jc w:val="center"/>
                  </w:pPr>
                  <w:r>
                    <w:t xml:space="preserve">3.0 (2.0, 7.0)</w:t>
                  </w:r>
                </w:p>
              </w:tc>
            </w:tr>
            <w:tr>
              <w:tc>
                <w:tcPr/>
                <w:p>
                  <w:pPr>
                    <w:pStyle w:val="Compact"/>
                    <w:jc w:val="left"/>
                    <w:jc w:val="center"/>
                  </w:pPr>
                  <w:r>
                    <w:t xml:space="preserve">Treated with tPA</w:t>
                  </w:r>
                </w:p>
              </w:tc>
              <w:tc>
                <w:tcPr/>
                <w:p>
                  <w:pPr>
                    <w:pStyle w:val="Compact"/>
                    <w:jc w:val="center"/>
                    <w:jc w:val="center"/>
                  </w:pPr>
                  <w:r>
                    <w:t xml:space="preserve">460 (60%)</w:t>
                  </w:r>
                </w:p>
              </w:tc>
              <w:tc>
                <w:tcPr/>
                <w:p>
                  <w:pPr>
                    <w:pStyle w:val="Compact"/>
                    <w:jc w:val="center"/>
                    <w:jc w:val="center"/>
                  </w:pPr>
                  <w:r>
                    <w:t xml:space="preserve">159 (57%)</w:t>
                  </w:r>
                </w:p>
              </w:tc>
              <w:tc>
                <w:tcPr/>
                <w:p>
                  <w:pPr>
                    <w:pStyle w:val="Compact"/>
                    <w:jc w:val="center"/>
                    <w:jc w:val="center"/>
                  </w:pPr>
                  <w:r>
                    <w:t xml:space="preserve">301 (62%)</w:t>
                  </w:r>
                </w:p>
              </w:tc>
            </w:tr>
            <w:tr>
              <w:tc>
                <w:tcPr/>
                <w:p>
                  <w:pPr>
                    <w:pStyle w:val="Compact"/>
                    <w:jc w:val="left"/>
                    <w:jc w:val="center"/>
                  </w:pPr>
                  <w:r>
                    <w:t xml:space="preserve">Treated with EVT</w:t>
                  </w:r>
                </w:p>
              </w:tc>
              <w:tc>
                <w:tcPr/>
                <w:p>
                  <w:pPr>
                    <w:pStyle w:val="Compact"/>
                    <w:jc w:val="center"/>
                    <w:jc w:val="center"/>
                  </w:pPr>
                  <w:r>
                    <w:t xml:space="preserve">100 (13%)</w:t>
                  </w:r>
                </w:p>
              </w:tc>
              <w:tc>
                <w:tcPr/>
                <w:p>
                  <w:pPr>
                    <w:pStyle w:val="Compact"/>
                    <w:jc w:val="center"/>
                    <w:jc w:val="center"/>
                  </w:pPr>
                  <w:r>
                    <w:t xml:space="preserve">30 (11%)</w:t>
                  </w:r>
                </w:p>
              </w:tc>
              <w:tc>
                <w:tcPr/>
                <w:p>
                  <w:pPr>
                    <w:pStyle w:val="Compact"/>
                    <w:jc w:val="center"/>
                    <w:jc w:val="center"/>
                  </w:pPr>
                  <w:r>
                    <w:t xml:space="preserve">70 (14%)</w:t>
                  </w:r>
                </w:p>
              </w:tc>
            </w:tr>
            <w:tr>
              <w:tc>
                <w:tcPr/>
                <w:p>
                  <w:pPr>
                    <w:pStyle w:val="Compact"/>
                    <w:jc w:val="left"/>
                    <w:jc w:val="center"/>
                  </w:pPr>
                  <w:r>
                    <w:t xml:space="preserve">Pre-stroke PASE score</w:t>
                  </w:r>
                </w:p>
              </w:tc>
              <w:tc>
                <w:tcPr/>
                <w:p>
                  <w:pPr>
                    <w:pStyle w:val="Compact"/>
                    <w:jc w:val="center"/>
                    <w:jc w:val="center"/>
                  </w:pPr>
                  <w:r>
                    <w:t xml:space="preserve">108 (60, 161)</w:t>
                  </w:r>
                </w:p>
              </w:tc>
              <w:tc>
                <w:tcPr/>
                <w:p>
                  <w:pPr>
                    <w:pStyle w:val="Compact"/>
                    <w:jc w:val="center"/>
                    <w:jc w:val="center"/>
                  </w:pPr>
                  <w:r>
                    <w:t xml:space="preserve">89 (55, 136)</w:t>
                  </w:r>
                </w:p>
              </w:tc>
              <w:tc>
                <w:tcPr/>
                <w:p>
                  <w:pPr>
                    <w:pStyle w:val="Compact"/>
                    <w:jc w:val="center"/>
                    <w:jc w:val="center"/>
                  </w:pPr>
                  <w:r>
                    <w:t xml:space="preserve">116 (71, 175)</w:t>
                  </w:r>
                </w:p>
              </w:tc>
            </w:tr>
            <w:tr>
              <w:tc>
                <w:tcPr/>
                <w:p>
                  <w:pPr>
                    <w:pStyle w:val="Compact"/>
                    <w:jc w:val="left"/>
                    <w:jc w:val="center"/>
                  </w:pPr>
                  <w:r>
                    <w:t xml:space="preserve">Living alone</w:t>
                  </w:r>
                </w:p>
              </w:tc>
              <w:tc>
                <w:tcPr/>
                <w:p>
                  <w:pPr>
                    <w:pStyle w:val="Compact"/>
                    <w:jc w:val="center"/>
                    <w:jc w:val="center"/>
                  </w:pPr>
                  <w:r>
                    <w:t xml:space="preserve">203 (27%)</w:t>
                  </w:r>
                </w:p>
              </w:tc>
              <w:tc>
                <w:tcPr/>
                <w:p>
                  <w:pPr>
                    <w:pStyle w:val="Compact"/>
                    <w:jc w:val="center"/>
                    <w:jc w:val="center"/>
                  </w:pPr>
                  <w:r>
                    <w:t xml:space="preserve">120 (43%)</w:t>
                  </w:r>
                </w:p>
              </w:tc>
              <w:tc>
                <w:tcPr/>
                <w:p>
                  <w:pPr>
                    <w:pStyle w:val="Compact"/>
                    <w:jc w:val="center"/>
                    <w:jc w:val="center"/>
                  </w:pPr>
                  <w:r>
                    <w:t xml:space="preserve">83 (17%)</w:t>
                  </w:r>
                </w:p>
              </w:tc>
            </w:tr>
          </w:tbl>
          <w:bookmarkEnd w:id="28"/>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Scoring reliability between raters has been compared using different metrics, to show different nuances to the performance, see</w:t>
      </w:r>
      <w:r>
        <w:t xml:space="preserve"> </w:t>
      </w:r>
      <w:hyperlink w:anchor="tbl-irr">
        <w:r>
          <w:rPr>
            <w:rStyle w:val="Hyperlink"/>
          </w:rPr>
          <w:t xml:space="preserve">Table 2</w:t>
        </w:r>
      </w:hyperlink>
      <w:r>
        <w:t xml:space="preserve">. The main performance measure is the intraclass correlation ceofficient.</w:t>
      </w:r>
    </w:p>
    <w:tbl>
      <w:tblPr>
        <w:tblStyle w:val="Table"/>
        <w:tblW w:type="pct" w:w="5000"/>
        <w:tblLook w:firstRow="0" w:lastRow="0" w:firstColumn="0" w:lastColumn="0" w:noHBand="0" w:noVBand="0" w:val="0000"/>
        <w:jc w:val="start"/>
        <w:tblLayout w:type="fixed"/>
      </w:tblPr>
      <w:tblGrid>
        <w:gridCol w:w="7920"/>
      </w:tblGrid>
      <w:tr>
        <w:tc>
          <w:tcPr/>
          <w:bookmarkStart w:id="29" w:name="tbl-irr"/>
          <w:p>
            <w:pPr>
              <w:jc w:val="center"/>
            </w:pPr>
            <w:pPr>
              <w:jc w:val="start"/>
              <w:spacing w:before="200"/>
              <w:pStyle w:val="ImageCaption"/>
            </w:pPr>
            <w:r>
              <w:t xml:space="preserve">Table 2: Inter rater reliability testing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Agreement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Krippendorffs_Alpha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Fleiss_Kappa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Brennan_Predigers_Kappa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IntraclCorrCoef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microbleed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lacunes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wmh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atrophy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w:t>
                  </w:r>
                </w:p>
              </w:tc>
            </w:tr>
          </w:tbl>
          <w:bookmarkEnd w:id="29"/>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Below is the initial evaluation of possible PA effect modification on classical risk factors,</w:t>
      </w:r>
      <w:r>
        <w:t xml:space="preserve"> </w:t>
      </w:r>
      <w:hyperlink w:anchor="tbl-olr">
        <w:r>
          <w:rPr>
            <w:rStyle w:val="Hyperlink"/>
          </w:rPr>
          <w:t xml:space="preserve">Table 3</w:t>
        </w:r>
      </w:hyperlink>
      <w:r>
        <w:t xml:space="preserve">. These results indicates no effect modification as odds ratios are largely unchanged, when PA is introduced in the model (on the right). This may not be the optimal method for this kind of evaluation, though.</w:t>
      </w:r>
    </w:p>
    <w:tbl>
      <w:tblPr>
        <w:tblStyle w:val="Table"/>
        <w:tblW w:type="pct" w:w="5000"/>
        <w:tblLook w:firstRow="0" w:lastRow="0" w:firstColumn="0" w:lastColumn="0" w:noHBand="0" w:noVBand="0" w:val="0000"/>
        <w:jc w:val="start"/>
        <w:tblLayout w:type="fixed"/>
      </w:tblPr>
      <w:tblGrid>
        <w:gridCol w:w="7920"/>
      </w:tblGrid>
      <w:tr>
        <w:tc>
          <w:tcPr/>
          <w:bookmarkStart w:id="33" w:name="tbl-olr"/>
          <w:p>
            <w:pPr>
              <w:jc w:val="center"/>
            </w:pPr>
            <w:pPr>
              <w:jc w:val="start"/>
              <w:spacing w:before="200"/>
              <w:pStyle w:val="ImageCaption"/>
            </w:pPr>
            <w:r>
              <w:t xml:space="preserve">Table 3: Multivariate, ordianal, logistic regression analysis without and with PASE score included</w:t>
            </w:r>
          </w:p>
          <w:p>
            <w:pPr>
              <w:jc w:val="center"/>
            </w:pPr>
            <w:r>
              <w:drawing>
                <wp:inline>
                  <wp:extent cx="5334000" cy="4267200"/>
                  <wp:effectExtent b="0" l="0" r="0" t="0"/>
                  <wp:docPr descr="" title="" id="31" name="Picture"/>
                  <a:graphic>
                    <a:graphicData uri="http://schemas.openxmlformats.org/drawingml/2006/picture">
                      <pic:pic>
                        <pic:nvPicPr>
                          <pic:cNvPr descr="index_files/figure-docx/tbl-olr-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the preliminary SVD-scores, SVD score distribution stratified by PA quartile is presented in</w:t>
      </w:r>
      <w:r>
        <w:t xml:space="preserve"> </w:t>
      </w:r>
      <w:hyperlink w:anchor="fig-svd_dist">
        <w:r>
          <w:rPr>
            <w:rStyle w:val="Hyperlink"/>
          </w:rPr>
          <w:t xml:space="preserve">Figure 2</w:t>
        </w:r>
      </w:hyperlink>
      <w:r>
        <w:t xml:space="preserve">.</w:t>
      </w:r>
    </w:p>
    <w:bookmarkStart w:id="39" w:name="cell-fig-svd_dist"/>
    <w:tbl>
      <w:tblPr>
        <w:tblStyle w:val="Table"/>
        <w:tblW w:type="pct" w:w="5000"/>
        <w:tblLook w:firstRow="0" w:lastRow="0" w:firstColumn="0" w:lastColumn="0" w:noHBand="0" w:noVBand="0" w:val="0000"/>
        <w:jc w:val="start"/>
        <w:tblLayout w:type="fixed"/>
      </w:tblPr>
      <w:tblGrid>
        <w:gridCol w:w="7920"/>
      </w:tblGrid>
      <w:tr>
        <w:tc>
          <w:tcPr/>
          <w:bookmarkStart w:id="38" w:name="fig-svd_dist"/>
          <w:p>
            <w:pPr>
              <w:pStyle w:val="Compact"/>
              <w:jc w:val="center"/>
            </w:pPr>
            <w:bookmarkStart w:id="37" w:name="fig-svd_dist"/>
            <w:r>
              <w:drawing>
                <wp:inline>
                  <wp:extent cx="5334000" cy="4267200"/>
                  <wp:effectExtent b="0" l="0" r="0" t="0"/>
                  <wp:docPr descr="" title="" id="35" name="Picture"/>
                  <a:graphic>
                    <a:graphicData uri="http://schemas.openxmlformats.org/drawingml/2006/picture">
                      <pic:pic>
                        <pic:nvPicPr>
                          <pic:cNvPr descr="index_files/figure-docx/fig-svd_dist-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bookmarkEnd w:id="37"/>
          </w:p>
          <w:p>
            <w:pPr>
              <w:jc w:val="center"/>
            </w:pPr>
            <w:pPr>
              <w:jc w:val="start"/>
              <w:spacing w:before="200"/>
              <w:pStyle w:val="ImageCaption"/>
            </w:pPr>
            <w:r>
              <w:t xml:space="preserve">Figure 2</w:t>
            </w:r>
          </w:p>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End w:id="40"/>
    <w:bookmarkStart w:id="48" w:name="discussion"/>
    <w:p>
      <w:pPr>
        <w:pStyle w:val="Heading2"/>
      </w:pPr>
      <w:r>
        <w:t xml:space="preserve">Discussion</w:t>
      </w:r>
    </w:p>
    <w:p>
      <w:pPr>
        <w:pStyle w:val="FirstParagraph"/>
      </w:pPr>
      <w:r>
        <w:t xml:space="preserve">The numbers and figures presented here are very much preliminary and should only be used for discussion and inspiration. Also, if you have any interest in collaboration, please reach out!</w:t>
      </w:r>
    </w:p>
    <w:bookmarkStart w:id="47" w:name="refs"/>
    <w:bookmarkStart w:id="42" w:name="ref-landman2021"/>
    <w:p>
      <w:pPr>
        <w:pStyle w:val="Bibliography"/>
      </w:pPr>
      <w:r>
        <w:t xml:space="preserve">Landman, Thijs Rj, Dick Hj Thijssen, Anil M. Tuladhar, and Frank-Erik de Leeuw. 2021.</w:t>
      </w:r>
      <w:r>
        <w:t xml:space="preserve"> </w:t>
      </w:r>
      <w:r>
        <w:t xml:space="preserve">“Relation between physical activity and cerebral small vessel disease: A nine-year prospective cohort study.”</w:t>
      </w:r>
      <w:r>
        <w:t xml:space="preserve"> </w:t>
      </w:r>
      <w:r>
        <w:rPr>
          <w:iCs/>
          <w:i/>
        </w:rPr>
        <w:t xml:space="preserve">International Journal of Stroke: Official Journal of the International Stroke Society</w:t>
      </w:r>
      <w:r>
        <w:t xml:space="preserve"> </w:t>
      </w:r>
      <w:r>
        <w:t xml:space="preserve">16 (8): 962–71.</w:t>
      </w:r>
      <w:r>
        <w:t xml:space="preserve"> </w:t>
      </w:r>
      <w:hyperlink r:id="rId41">
        <w:r>
          <w:rPr>
            <w:rStyle w:val="Hyperlink"/>
          </w:rPr>
          <w:t xml:space="preserve">https://doi.org/10.1177/1747493020984090</w:t>
        </w:r>
      </w:hyperlink>
      <w:r>
        <w:t xml:space="preserve">.</w:t>
      </w:r>
    </w:p>
    <w:bookmarkEnd w:id="42"/>
    <w:bookmarkStart w:id="44" w:name="ref-moniruzzaman2020"/>
    <w:p>
      <w:pPr>
        <w:pStyle w:val="Bibliography"/>
      </w:pPr>
      <w:r>
        <w:t xml:space="preserve">Moniruzzaman, Mohammad, Aya Kadota, Hiroyoshi Segawa, Keiko Kondo, Sayuki Torii, Naoko Miyagawa, Akira Fujiyoshi, et al. 2020.</w:t>
      </w:r>
      <w:r>
        <w:t xml:space="preserve"> </w:t>
      </w:r>
      <w:r>
        <w:t xml:space="preserve">“Relationship Between Step Counts and Cerebral Small Vessel Disease in Japanese Men.”</w:t>
      </w:r>
      <w:r>
        <w:t xml:space="preserve"> </w:t>
      </w:r>
      <w:r>
        <w:rPr>
          <w:iCs/>
          <w:i/>
        </w:rPr>
        <w:t xml:space="preserve">Stroke</w:t>
      </w:r>
      <w:r>
        <w:t xml:space="preserve"> </w:t>
      </w:r>
      <w:r>
        <w:t xml:space="preserve">51 (12): 3584–91.</w:t>
      </w:r>
      <w:r>
        <w:t xml:space="preserve"> </w:t>
      </w:r>
      <w:hyperlink r:id="rId43">
        <w:r>
          <w:rPr>
            <w:rStyle w:val="Hyperlink"/>
          </w:rPr>
          <w:t xml:space="preserve">https://doi.org/10.1161/STROKEAHA.120.030141</w:t>
        </w:r>
      </w:hyperlink>
      <w:r>
        <w:t xml:space="preserve">.</w:t>
      </w:r>
    </w:p>
    <w:bookmarkEnd w:id="44"/>
    <w:bookmarkStart w:id="46" w:name="ref-torres2019"/>
    <w:p>
      <w:pPr>
        <w:pStyle w:val="Bibliography"/>
      </w:pPr>
      <w:r>
        <w:t xml:space="preserve">Torres, Elisa R., Siobhan M. Hoscheidt, Barbara B. Bendlin, Vincent A. Magnotta, Gabriel D. Lancaster, Roger L. Brown, and Sergio Paradiso. 2019.</w:t>
      </w:r>
      <w:r>
        <w:t xml:space="preserve"> </w:t>
      </w:r>
      <w:r>
        <w:t xml:space="preserve">“Lifetime Physical Activity and White Matter Hyperintensities in Cognitively-Intact Adults.”</w:t>
      </w:r>
      <w:r>
        <w:t xml:space="preserve"> </w:t>
      </w:r>
      <w:r>
        <w:rPr>
          <w:iCs/>
          <w:i/>
        </w:rPr>
        <w:t xml:space="preserve">Nursing Research</w:t>
      </w:r>
      <w:r>
        <w:t xml:space="preserve"> </w:t>
      </w:r>
      <w:r>
        <w:t xml:space="preserve">68 (3): 210–17.</w:t>
      </w:r>
      <w:r>
        <w:t xml:space="preserve"> </w:t>
      </w:r>
      <w:hyperlink r:id="rId45">
        <w:r>
          <w:rPr>
            <w:rStyle w:val="Hyperlink"/>
          </w:rPr>
          <w:t xml:space="preserve">https://doi.org/10.1097/NNR.0000000000000341</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20" Target="https://agdamsbo.github.io/svd-modification/index.qmd.html" TargetMode="External" /><Relationship Type="http://schemas.openxmlformats.org/officeDocument/2006/relationships/hyperlink" Id="rId21" Target="https://apps.congrex.com/esoc2024/en-GB/pag/presentation/362937" TargetMode="External" /><Relationship Type="http://schemas.openxmlformats.org/officeDocument/2006/relationships/hyperlink" Id="rId45" Target="https://doi.org/10.1097/NNR.0000000000000341" TargetMode="External" /><Relationship Type="http://schemas.openxmlformats.org/officeDocument/2006/relationships/hyperlink" Id="rId43" Target="https://doi.org/10.1161/STROKEAHA.120.030141" TargetMode="External" /><Relationship Type="http://schemas.openxmlformats.org/officeDocument/2006/relationships/hyperlink" Id="rId41" Target="https://doi.org/10.1177/1747493020984090" TargetMode="External" /></Relationships>
</file>

<file path=word/_rels/footnotes.xml.rels><?xml version="1.0" encoding="UTF-8"?><Relationships xmlns="http://schemas.openxmlformats.org/package/2006/relationships"><Relationship Type="http://schemas.openxmlformats.org/officeDocument/2006/relationships/hyperlink" Id="rId20" Target="https://agdamsbo.github.io/svd-modification/index.qmd.html" TargetMode="External" /><Relationship Type="http://schemas.openxmlformats.org/officeDocument/2006/relationships/hyperlink" Id="rId21" Target="https://apps.congrex.com/esoc2024/en-GB/pag/presentation/362937" TargetMode="External" /><Relationship Type="http://schemas.openxmlformats.org/officeDocument/2006/relationships/hyperlink" Id="rId45" Target="https://doi.org/10.1097/NNR.0000000000000341" TargetMode="External" /><Relationship Type="http://schemas.openxmlformats.org/officeDocument/2006/relationships/hyperlink" Id="rId43" Target="https://doi.org/10.1161/STROKEAHA.120.030141" TargetMode="External" /><Relationship Type="http://schemas.openxmlformats.org/officeDocument/2006/relationships/hyperlink" Id="rId41" Target="https://doi.org/10.1177/17474930209840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activity as an effect modificator of lifestyle factors on small vessel deisease burden</dc:title>
  <dc:creator/>
  <cp:keywords/>
  <dcterms:created xsi:type="dcterms:W3CDTF">2024-05-15T21:29:36Z</dcterms:created>
  <dcterms:modified xsi:type="dcterms:W3CDTF">2024-05-15T21:29:36Z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and aims Physical activity (PA) may reduce the development of small vessel disease (SVD). The effect of physical activity and more classical vascular risk factors such as hypertension and diabetes in the development of SVD is debated, however. We aim to investigate the effect modification of physical activity on traditional vascular risk factors and the burden of small vessel disease among acute ischemic stroke patients.Methods We have pooled patients from two clinical trials on acute ischemic stroke treatment. The main outcome is an ordinal scale score of quantified MR biomarkers of small vessel disease (SVD) burden based on visually assessed acute stroke scans (T2* or SWI and FLAIR sequences). Biomarkers includes microbleeds, old lacunar infarcts, superficial siderosis, white matter hyperintensities and atrophy. Covariates includes age, sex, pre-stroke physical activity, diabetes, hypertension, atrial fibrillation and previous cardiovascular diseases. Pre-stroke PA was assessed with a questionnaire on inclusion within a few days after stroke onset. Data will be analyzed using bivariate and multivariate linear regression analysis.Results We expect to include a total of around 1000 adult patients admitted to the comprehensive stroke centre at Aarhus University Hospital between 2013-2022. Preliminary results will be presented at ESOC 2024.Conclusions Physical activity may be an important factor in modifying the risk of SVD development in stroke patients.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