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tc>
          <w:tcPr>
            <w:tcW w:w="4675" w:type="dxa"/>
          </w:tcPr>
          <w:p>
            <w:pPr>
              <w:rPr>
                <w:i/>
                <w:iCs/>
                <w:lang w:val="nl-NL"/>
              </w:rPr>
            </w:pPr>
            <w:r>
              <w:rPr>
                <w:i/>
                <w:iCs/>
                <w:lang w:val="nl-NL"/>
              </w:rPr>
              <w:t>Demonstratie, activiteit, of workshop</w:t>
            </w:r>
          </w:p>
        </w:tc>
        <w:tc>
          <w:tcPr>
            <w:tcW w:w="4675" w:type="dxa"/>
          </w:tcPr>
          <w:p>
            <w:pPr>
              <w:rPr>
                <w:lang w:val="nl-NL"/>
              </w:rPr>
            </w:pPr>
            <w:r>
              <w:rPr>
                <w:lang w:val="nl-NL"/>
              </w:rPr>
              <w:t>Activiteit (doorlopend, zelf te spelen)</w:t>
            </w:r>
          </w:p>
        </w:tc>
      </w:tr>
      <w:tr>
        <w:tc>
          <w:tcPr>
            <w:tcW w:w="4675" w:type="dxa"/>
          </w:tcPr>
          <w:p>
            <w:pPr>
              <w:rPr>
                <w:i/>
                <w:iCs/>
                <w:lang w:val="nl-NL"/>
              </w:rPr>
            </w:pPr>
            <w:r>
              <w:rPr>
                <w:i/>
                <w:iCs/>
                <w:lang w:val="nl-NL"/>
              </w:rPr>
              <w:t>Doelgroep: vanaf welke leeftijd</w:t>
            </w:r>
          </w:p>
        </w:tc>
        <w:tc>
          <w:tcPr>
            <w:tcW w:w="4675" w:type="dxa"/>
          </w:tcPr>
          <w:p>
            <w:pPr>
              <w:rPr>
                <w:lang w:val="nl-NL"/>
              </w:rPr>
            </w:pPr>
            <w:r>
              <w:rPr>
                <w:lang w:val="nl-NL"/>
              </w:rPr>
              <w:t>Alle leeftijden. Vanaf ongeveer 4 jaar kunnen kinderen meteen zelf spelen; oudere kinderen en ouders kunnen in hetzelfde spel de wetenschap erachter induiken.</w:t>
            </w:r>
          </w:p>
        </w:tc>
      </w:tr>
      <w:tr>
        <w:tc>
          <w:tcPr>
            <w:tcW w:w="4675" w:type="dxa"/>
          </w:tcPr>
          <w:p>
            <w:pPr>
              <w:rPr>
                <w:i/>
                <w:iCs/>
                <w:lang w:val="nl-NL"/>
              </w:rPr>
            </w:pPr>
            <w:r>
              <w:rPr>
                <w:i/>
                <w:iCs/>
                <w:lang w:val="nl-NL"/>
              </w:rPr>
              <w:t>Input: titel (bijv. Hoe werkt …)</w:t>
            </w:r>
          </w:p>
        </w:tc>
        <w:tc>
          <w:tcPr>
            <w:tcW w:w="4675" w:type="dxa"/>
          </w:tcPr>
          <w:p>
            <w:pPr>
              <w:rPr>
                <w:b/>
                <w:bCs/>
                <w:lang w:val="nl-NL"/>
              </w:rPr>
            </w:pPr>
            <w:r>
              <w:rPr>
                <w:b/>
                <w:bCs/>
                <w:lang w:val="nl-NL"/>
              </w:rPr>
              <w:t>De simulatie-arcade – kun jij de wereld nabootsen?</w:t>
            </w:r>
          </w:p>
        </w:tc>
      </w:tr>
      <w:tr>
        <w:tc>
          <w:tcPr>
            <w:tcW w:w="4675" w:type="dxa"/>
          </w:tcPr>
          <w:p>
            <w:pPr>
              <w:rPr>
                <w:i/>
                <w:iCs/>
                <w:lang w:val="nl-NL"/>
              </w:rPr>
            </w:pPr>
            <w:r>
              <w:rPr>
                <w:i/>
                <w:iCs/>
                <w:lang w:val="nl-NL"/>
              </w:rPr>
              <w:t xml:space="preserve">Input: uitleg (3-5 zinnen) </w:t>
            </w:r>
          </w:p>
        </w:tc>
        <w:tc>
          <w:tcPr>
            <w:tcW w:w="4675" w:type="dxa"/>
          </w:tcPr>
          <w:p>
            <w:pPr>
              <w:rPr>
                <w:lang w:val="nl-NL"/>
              </w:rPr>
            </w:pPr>
            <w:r>
              <w:rPr>
                <w:lang w:val="nl-NL"/>
              </w:rPr>
              <w:t>In deze arcade kies je zelf een wereld om te simuleren: wervel met de muis door een windstroming en zet er windmolens in, stop een epidemie in een mini-stad, bouw dijken tegen een stormvloed, of laat een beestje zichzelf leren lopen. Alles wordt live doorgerekend terwijl je speelt, dus je ziet meteen wat jouw ingreep doet. Jonge kinderen kunnen zonder uitleg meteen aan de slag; wie meer wil weten drukt op “Hoe werkt dit?” en ontdekt stap voor stap de wiskunde achter het spel. Het zijn dezelfde soort berekeningen waarmee onze groep windmolenparken, overstromingen en epidemieën onderzoekt. (Also available in English)</w:t>
            </w:r>
          </w:p>
        </w:tc>
      </w:tr>
      <w:tr>
        <w:tc>
          <w:tcPr>
            <w:tcW w:w="4675" w:type="dxa"/>
          </w:tcPr>
          <w:p>
            <w:pPr>
              <w:rPr>
                <w:i/>
                <w:iCs/>
                <w:lang w:val="nl-NL"/>
              </w:rPr>
            </w:pPr>
            <w:r>
              <w:rPr>
                <w:i/>
                <w:iCs/>
                <w:lang w:val="nl-NL"/>
              </w:rPr>
              <w:t>Benodigdheden</w:t>
            </w:r>
          </w:p>
        </w:tc>
        <w:tc>
          <w:tcPr>
            <w:tcW w:w="4675" w:type="dxa"/>
          </w:tcPr>
          <w:p>
            <w:pPr>
              <w:pStyle w:val="ListParagraph"/>
              <w:numPr>
                <w:ilvl w:val="0"/>
                <w:numId w:val="2"/>
              </w:numPr>
              <w:rPr>
                <w:lang w:val="nl-NL"/>
              </w:rPr>
            </w:pPr>
            <w:r>
              <w:rPr>
                <w:lang w:val="nl-NL"/>
              </w:rPr>
              <w:t>1 groot scherm (bijv. een vergaderzaalscherm) met computer en muis — hierop draait het “hoofdspel”, ook zichtbaar voor toekijkende ouders en kinderen in de rij</w:t>
            </w:r>
          </w:p>
          <w:p>
            <w:pPr>
              <w:pStyle w:val="ListParagraph"/>
              <w:numPr>
                <w:ilvl w:val="0"/>
                <w:numId w:val="2"/>
              </w:numPr>
              <w:rPr>
                <w:lang w:val="nl-NL"/>
              </w:rPr>
            </w:pPr>
            <w:r>
              <w:rPr>
                <w:lang w:val="nl-NL"/>
              </w:rPr>
              <w:t>2–3 extra laptops / computers met monitor en muis, zodat meerdere kinderen tegelijk kunnen spelen (elke machine kan een ander spel tonen)</w:t>
            </w:r>
          </w:p>
          <w:p>
            <w:pPr>
              <w:pStyle w:val="ListParagraph"/>
              <w:numPr>
                <w:ilvl w:val="0"/>
                <w:numId w:val="2"/>
              </w:numPr>
              <w:rPr>
                <w:lang w:val="nl-NL"/>
              </w:rPr>
            </w:pPr>
            <w:r>
              <w:rPr>
                <w:lang w:val="nl-NL"/>
              </w:rPr>
              <w:t>2 tafels</w:t>
            </w:r>
          </w:p>
          <w:p>
            <w:pPr>
              <w:pStyle w:val="ListParagraph"/>
              <w:numPr>
                <w:ilvl w:val="0"/>
                <w:numId w:val="2"/>
              </w:numPr>
              <w:rPr>
                <w:lang w:val="nl-NL"/>
              </w:rPr>
            </w:pPr>
            <w:r>
              <w:rPr>
                <w:lang w:val="nl-NL"/>
              </w:rPr>
              <w:t>6–8 stoelen</w:t>
            </w:r>
          </w:p>
          <w:p>
            <w:pPr>
              <w:pStyle w:val="ListParagraph"/>
              <w:numPr>
                <w:ilvl w:val="0"/>
                <w:numId w:val="2"/>
              </w:numPr>
              <w:rPr>
                <w:lang w:val="nl-NL"/>
              </w:rPr>
            </w:pPr>
            <w:r>
              <w:rPr>
                <w:lang w:val="nl-NL"/>
              </w:rPr>
              <w:t>Stekkerdozen / verlengsnoeren voor alle computers</w:t>
            </w:r>
          </w:p>
          <w:p>
            <w:pPr>
              <w:pStyle w:val="ListParagraph"/>
              <w:numPr>
                <w:ilvl w:val="0"/>
                <w:numId w:val="2"/>
              </w:numPr>
              <w:rPr>
                <w:lang w:val="nl-NL"/>
              </w:rPr>
            </w:pPr>
            <w:r>
              <w:rPr>
                <w:lang w:val="nl-NL"/>
              </w:rPr>
              <w:t>Poster met QR-code naar het spel (printen we zelf)</w:t>
            </w:r>
          </w:p>
        </w:tc>
      </w:tr>
      <w:tr>
        <w:tc>
          <w:tcPr>
            <w:tcW w:w="4675" w:type="dxa"/>
          </w:tcPr>
          <w:p>
            <w:pPr>
              <w:rPr>
                <w:i/>
                <w:iCs/>
                <w:lang w:val="nl-NL"/>
              </w:rPr>
            </w:pPr>
            <w:r>
              <w:rPr>
                <w:i/>
                <w:iCs/>
                <w:lang w:val="nl-NL"/>
              </w:rPr>
              <w:t xml:space="preserve">Moet er iets besteld worden? </w:t>
            </w:r>
          </w:p>
        </w:tc>
        <w:tc>
          <w:tcPr>
            <w:tcW w:w="4675" w:type="dxa"/>
          </w:tcPr>
          <w:p>
            <w:pPr>
              <w:rPr>
                <w:lang w:val="nl-NL"/>
              </w:rPr>
            </w:pPr>
            <w:r>
              <w:rPr>
                <w:lang w:val="nl-NL"/>
              </w:rPr>
              <w:t>N.v.t., mits het grote scherm en de laptops/computers intern beschikbaar zijn. De software schrijven we zelf; die draait offline in een gewone browser (Chrome of Firefox), dus er is geen installatie en geen internetverbinding nodig.</w:t>
            </w:r>
          </w:p>
        </w:tc>
      </w:tr>
      <w:tr>
        <w:tc>
          <w:tcPr>
            <w:tcW w:w="4675" w:type="dxa"/>
          </w:tcPr>
          <w:p>
            <w:pPr>
              <w:rPr>
                <w:i/>
                <w:iCs/>
                <w:lang w:val="nl-NL"/>
              </w:rPr>
            </w:pPr>
            <w:r>
              <w:rPr>
                <w:i/>
                <w:iCs/>
                <w:lang w:val="nl-NL"/>
              </w:rPr>
              <w:t xml:space="preserve">Aanwezig </w:t>
            </w:r>
          </w:p>
        </w:tc>
        <w:tc>
          <w:tcPr>
            <w:tcW w:w="4675" w:type="dxa"/>
          </w:tcPr>
          <w:p>
            <w:pPr>
              <w:pStyle w:val="ListParagraph"/>
              <w:numPr>
                <w:ilvl w:val="0"/>
                <w:numId w:val="2"/>
              </w:numPr>
              <w:rPr>
                <w:lang w:val="nl-NL"/>
              </w:rPr>
            </w:pPr>
            <w:r>
              <w:rPr>
                <w:lang w:val="nl-NL"/>
              </w:rPr>
              <w:t>Syver Døving Agdestein (syver.agdestein@cwi.nl)</w:t>
            </w:r>
          </w:p>
          <w:p>
            <w:pPr>
              <w:pStyle w:val="ListParagraph"/>
              <w:numPr>
                <w:ilvl w:val="0"/>
                <w:numId w:val="2"/>
              </w:numPr>
              <w:rPr>
                <w:lang w:val="nl-NL"/>
              </w:rPr>
            </w:pPr>
            <w:r>
              <w:rPr>
                <w:lang w:val="nl-NL"/>
              </w:rPr>
              <w:t>[nog aan te vullen]</w:t>
            </w:r>
          </w:p>
        </w:tc>
      </w:tr>
    </w:tbl>
    <w:p>
      <w:pPr>
        <w:rPr>
          <w:lang w:val="nl-NL"/>
        </w:rPr>
      </w:pPr>
    </w:p>
    <w:sectPr w:rsidR="00700FCB" w:rsidRPr="006E2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7F48E6"/>
    <w:multiLevelType w:val="hybridMultilevel"/>
    <w:tmpl w:val="B602E5CC"/>
    <w:lvl w:ilvl="0" w:tplc="4B4E58CA">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9358EE"/>
    <w:multiLevelType w:val="hybridMultilevel"/>
    <w:tmpl w:val="A958420C"/>
    <w:lvl w:ilvl="0" w:tplc="EC0E945A">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334743">
    <w:abstractNumId w:val="1"/>
  </w:num>
  <w:num w:numId="2" w16cid:durableId="1537498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CB"/>
    <w:rsid w:val="000365D5"/>
    <w:rsid w:val="00223E79"/>
    <w:rsid w:val="004A4E88"/>
    <w:rsid w:val="006E2B1D"/>
    <w:rsid w:val="00700FCB"/>
    <w:rsid w:val="00A6626B"/>
    <w:rsid w:val="00AB547B"/>
    <w:rsid w:val="00B84F01"/>
    <w:rsid w:val="00EE323A"/>
    <w:rsid w:val="00F0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8E26A5"/>
  <w15:chartTrackingRefBased/>
  <w15:docId w15:val="{40DADD3A-BB45-EA41-BF65-2BFC9021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FCB"/>
    <w:rPr>
      <w:rFonts w:eastAsiaTheme="majorEastAsia" w:cstheme="majorBidi"/>
      <w:color w:val="272727" w:themeColor="text1" w:themeTint="D8"/>
    </w:rPr>
  </w:style>
  <w:style w:type="paragraph" w:styleId="Title">
    <w:name w:val="Title"/>
    <w:basedOn w:val="Normal"/>
    <w:next w:val="Normal"/>
    <w:link w:val="TitleChar"/>
    <w:uiPriority w:val="10"/>
    <w:qFormat/>
    <w:rsid w:val="0070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FCB"/>
    <w:pPr>
      <w:spacing w:before="160"/>
      <w:jc w:val="center"/>
    </w:pPr>
    <w:rPr>
      <w:i/>
      <w:iCs/>
      <w:color w:val="404040" w:themeColor="text1" w:themeTint="BF"/>
    </w:rPr>
  </w:style>
  <w:style w:type="character" w:customStyle="1" w:styleId="QuoteChar">
    <w:name w:val="Quote Char"/>
    <w:basedOn w:val="DefaultParagraphFont"/>
    <w:link w:val="Quote"/>
    <w:uiPriority w:val="29"/>
    <w:rsid w:val="00700FCB"/>
    <w:rPr>
      <w:i/>
      <w:iCs/>
      <w:color w:val="404040" w:themeColor="text1" w:themeTint="BF"/>
    </w:rPr>
  </w:style>
  <w:style w:type="paragraph" w:styleId="ListParagraph">
    <w:name w:val="List Paragraph"/>
    <w:basedOn w:val="Normal"/>
    <w:uiPriority w:val="34"/>
    <w:qFormat/>
    <w:rsid w:val="00700FCB"/>
    <w:pPr>
      <w:ind w:left="720"/>
      <w:contextualSpacing/>
    </w:pPr>
  </w:style>
  <w:style w:type="character" w:styleId="IntenseEmphasis">
    <w:name w:val="Intense Emphasis"/>
    <w:basedOn w:val="DefaultParagraphFont"/>
    <w:uiPriority w:val="21"/>
    <w:qFormat/>
    <w:rsid w:val="00700FCB"/>
    <w:rPr>
      <w:i/>
      <w:iCs/>
      <w:color w:val="0F4761" w:themeColor="accent1" w:themeShade="BF"/>
    </w:rPr>
  </w:style>
  <w:style w:type="paragraph" w:styleId="IntenseQuote">
    <w:name w:val="Intense Quote"/>
    <w:basedOn w:val="Normal"/>
    <w:next w:val="Normal"/>
    <w:link w:val="IntenseQuoteChar"/>
    <w:uiPriority w:val="30"/>
    <w:qFormat/>
    <w:rsid w:val="00700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FCB"/>
    <w:rPr>
      <w:i/>
      <w:iCs/>
      <w:color w:val="0F4761" w:themeColor="accent1" w:themeShade="BF"/>
    </w:rPr>
  </w:style>
  <w:style w:type="character" w:styleId="IntenseReference">
    <w:name w:val="Intense Reference"/>
    <w:basedOn w:val="DefaultParagraphFont"/>
    <w:uiPriority w:val="32"/>
    <w:qFormat/>
    <w:rsid w:val="00700FCB"/>
    <w:rPr>
      <w:b/>
      <w:bCs/>
      <w:smallCaps/>
      <w:color w:val="0F4761" w:themeColor="accent1" w:themeShade="BF"/>
      <w:spacing w:val="5"/>
    </w:rPr>
  </w:style>
  <w:style w:type="table" w:styleId="TableGrid">
    <w:name w:val="Table Grid"/>
    <w:basedOn w:val="TableNormal"/>
    <w:uiPriority w:val="39"/>
    <w:rsid w:val="00700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65D5"/>
    <w:rPr>
      <w:color w:val="467886" w:themeColor="hyperlink"/>
      <w:u w:val="single"/>
    </w:rPr>
  </w:style>
  <w:style w:type="character" w:styleId="UnresolvedMention">
    <w:name w:val="Unresolved Mention"/>
    <w:basedOn w:val="DefaultParagraphFont"/>
    <w:uiPriority w:val="99"/>
    <w:semiHidden/>
    <w:unhideWhenUsed/>
    <w:rsid w:val="00036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nn.engelberts@cwi.nl" TargetMode="External"/><Relationship Id="rId3" Type="http://schemas.openxmlformats.org/officeDocument/2006/relationships/settings" Target="settings.xml"/><Relationship Id="rId7" Type="http://schemas.openxmlformats.org/officeDocument/2006/relationships/hyperlink" Target="mailto:Julia.Kastner@cwi.n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ijn.maatje@cwi.nl" TargetMode="External"/><Relationship Id="rId11" Type="http://schemas.openxmlformats.org/officeDocument/2006/relationships/fontTable" Target="fontTable.xml"/><Relationship Id="rId5" Type="http://schemas.openxmlformats.org/officeDocument/2006/relationships/hyperlink" Target="mailto:lynn.engelberts@cwi.nl" TargetMode="External"/><Relationship Id="rId10" Type="http://schemas.openxmlformats.org/officeDocument/2006/relationships/hyperlink" Target="mailto:Julia.Kastner@cwi.nl" TargetMode="External"/><Relationship Id="rId4" Type="http://schemas.openxmlformats.org/officeDocument/2006/relationships/webSettings" Target="webSettings.xml"/><Relationship Id="rId9" Type="http://schemas.openxmlformats.org/officeDocument/2006/relationships/hyperlink" Target="mailto:stijn.maatje@cwi.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Wetenschapsdag CWI 2026 – Scientific Computing</dc:title>
  <dc:subject/>
  <dc:creator>Lynn Engelberts</dc:creator>
  <cp:keywords/>
  <dc:description/>
  <cp:lastModifiedBy>Lynn Engelberts</cp:lastModifiedBy>
  <cp:revision>3</cp:revision>
  <dcterms:created xsi:type="dcterms:W3CDTF">2026-08-14T06:23:00Z</dcterms:created>
  <dcterms:modified xsi:type="dcterms:W3CDTF">2026-08-27T13:05:00Z</dcterms:modified>
</cp:coreProperties>
</file>