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9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POP3/IMAP</w:t>
      </w:r>
      <w:r>
        <w:t xml:space="preserve"> </w:t>
      </w:r>
      <w:r>
        <w:t xml:space="preserve">сервера</w:t>
      </w:r>
    </w:p>
    <w:p>
      <w:pPr>
        <w:pStyle w:val="Author"/>
      </w:pPr>
      <w:r>
        <w:t xml:space="preserve">Элсаиед</w:t>
      </w:r>
      <w:r>
        <w:t xml:space="preserve"> </w:t>
      </w:r>
      <w:r>
        <w:t xml:space="preserve">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простейшему конфигурированию POP3/IMAP-сервера.</w:t>
      </w:r>
    </w:p>
    <w:bookmarkEnd w:id="20"/>
    <w:bookmarkStart w:id="75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1" w:name="X283c2e698f14fcf4202aa849c72cd8e0e0e62d5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настройка почтового сервера Dovecot</w:t>
      </w:r>
    </w:p>
    <w:p>
      <w:pPr>
        <w:numPr>
          <w:ilvl w:val="0"/>
          <w:numId w:val="1001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вход под пользовательской учётной записью с последующим переходом в режим суперпользователя. После получения прав администратора произведена установка необходимых пакетов для работы почтового сервера Dovecot и тестирования почтовых протоколов.</w:t>
      </w:r>
    </w:p>
    <w:p>
      <w:pPr>
        <w:numPr>
          <w:ilvl w:val="0"/>
          <w:numId w:val="1001"/>
        </w:numPr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произведена настройка списка почтовых протоколов, поддерживаемых сервером Dovecot. Для обеспечения приёма почты по протоколам IMAP и POP3 был задан параметр</w:t>
      </w:r>
      <w:r>
        <w:t xml:space="preserve"> </w:t>
      </w:r>
      <w:r>
        <w:rPr>
          <w:rStyle w:val="VerbatimChar"/>
        </w:rPr>
        <w:t xml:space="preserve">protocols = imap pop3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6"/>
      <w:r>
        <w:drawing>
          <wp:inline>
            <wp:extent cx="5334000" cy="3690145"/>
            <wp:effectExtent b="0" l="0" r="0" t="0"/>
            <wp:docPr descr="Рис. 1: Настройка поддерживаемых протоколов Dovecot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0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Настройка поддерживаемых протоколов Dovecot</w:t>
      </w:r>
    </w:p>
    <w:p>
      <w:pPr>
        <w:numPr>
          <w:ilvl w:val="0"/>
          <w:numId w:val="1001"/>
        </w:numPr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проверен и задан механизм аутентификации пользователей. В качестве метода аутентификации выбран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, что соответствует стандартной схеме работы с системной базой пользователей.</w:t>
      </w:r>
    </w:p>
    <w:p>
      <w:pPr>
        <w:numPr>
          <w:ilvl w:val="0"/>
          <w:numId w:val="1000"/>
        </w:numPr>
        <w:pStyle w:val="CaptionedFigure"/>
      </w:pPr>
      <w:bookmarkStart w:id="28" w:name="fig:007"/>
      <w:r>
        <w:drawing>
          <wp:inline>
            <wp:extent cx="5334000" cy="2350792"/>
            <wp:effectExtent b="0" l="0" r="0" t="0"/>
            <wp:docPr descr="Рис. 2: Настройка механизма аутентификации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0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механизма аутентификации</w:t>
      </w:r>
    </w:p>
    <w:p>
      <w:pPr>
        <w:numPr>
          <w:ilvl w:val="0"/>
          <w:numId w:val="1001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/etc/dovecot/conf.d/auth-system.conf.ext</w:t>
      </w:r>
      <w:r>
        <w:t xml:space="preserve"> </w:t>
      </w:r>
      <w:r>
        <w:t xml:space="preserve">выполнена проверка параметров поиска пользователей и их учётных данных. Для аутентификации используется модуль PAM, а для получения информации о пользователях — системный файл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08"/>
      <w:r>
        <w:drawing>
          <wp:inline>
            <wp:extent cx="5334000" cy="3064375"/>
            <wp:effectExtent b="0" l="0" r="0" t="0"/>
            <wp:docPr descr="Рис. 3: Настройка источников аутентификации пользователей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источников аутентификации пользователей</w:t>
      </w:r>
    </w:p>
    <w:p>
      <w:pPr>
        <w:numPr>
          <w:ilvl w:val="0"/>
          <w:numId w:val="1001"/>
        </w:numPr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/etc/dovecot/conf.d/10-mail.conf</w:t>
      </w:r>
      <w:r>
        <w:t xml:space="preserve"> </w:t>
      </w:r>
      <w:r>
        <w:t xml:space="preserve">настроено месторасположение почтовых ящиков пользователей. В качестве формата хранения почты выбран</w:t>
      </w:r>
      <w:r>
        <w:t xml:space="preserve"> </w:t>
      </w:r>
      <w:r>
        <w:rPr>
          <w:rStyle w:val="VerbatimChar"/>
        </w:rPr>
        <w:t xml:space="preserve">Maildir</w:t>
      </w:r>
      <w:r>
        <w:t xml:space="preserve">, размещаемый в домашнем каталоге пользователя.</w:t>
      </w:r>
    </w:p>
    <w:p>
      <w:pPr>
        <w:numPr>
          <w:ilvl w:val="0"/>
          <w:numId w:val="1000"/>
        </w:numPr>
        <w:pStyle w:val="CaptionedFigure"/>
      </w:pPr>
      <w:bookmarkStart w:id="36" w:name="fig:009"/>
      <w:r>
        <w:drawing>
          <wp:inline>
            <wp:extent cx="5334000" cy="4006731"/>
            <wp:effectExtent b="0" l="0" r="0" t="0"/>
            <wp:docPr descr="Рис. 4: Настройка расположения почтовых ящиков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6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Настройка расположения почтовых ящиков</w:t>
      </w:r>
    </w:p>
    <w:p>
      <w:pPr>
        <w:numPr>
          <w:ilvl w:val="0"/>
          <w:numId w:val="1001"/>
        </w:numPr>
      </w:pPr>
      <w:r>
        <w:t xml:space="preserve">Для корректной доставки почты сервером Postfix выполнена настройка каталога доставки входящих сообщений с использованием формата</w:t>
      </w:r>
      <w:r>
        <w:t xml:space="preserve"> </w:t>
      </w:r>
      <w:r>
        <w:rPr>
          <w:rStyle w:val="VerbatimChar"/>
        </w:rPr>
        <w:t xml:space="preserve">Maildir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С целью обеспечения сетевого доступа к почтовым службам выполнена настройка межсетевого экрана. Разрешена работа сервисов протоколов POP3, POP3S, IMAP и IMAPS, после чего выполнена перезагрузка правил и проверка активных служб.</w:t>
      </w:r>
    </w:p>
    <w:p>
      <w:pPr>
        <w:numPr>
          <w:ilvl w:val="0"/>
          <w:numId w:val="1000"/>
        </w:numPr>
        <w:pStyle w:val="CaptionedFigure"/>
      </w:pPr>
      <w:bookmarkStart w:id="40" w:name="fig:010"/>
      <w:r>
        <w:drawing>
          <wp:inline>
            <wp:extent cx="5334000" cy="2049069"/>
            <wp:effectExtent b="0" l="0" r="0" t="0"/>
            <wp:docPr descr="Рис. 5: Настройка межсетевого экрана для почтовых протоколов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9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Настройка межсетевого экрана для почтовых протоколов</w:t>
      </w:r>
    </w:p>
    <w:p>
      <w:pPr>
        <w:numPr>
          <w:ilvl w:val="0"/>
          <w:numId w:val="1001"/>
        </w:numPr>
      </w:pPr>
      <w:r>
        <w:t xml:space="preserve">Для восстановления корректных контекстов безопасности SELinux выполнено восстановление контекста для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Завершающим этапом выполнен перезапуск почтового сервера Postfix, а также включение и запуск службы Dovecot. Сервис успешно добавлен в автозагрузку и запущен без ошибок.</w:t>
      </w:r>
    </w:p>
    <w:bookmarkEnd w:id="41"/>
    <w:bookmarkStart w:id="74" w:name="X10143fc3dce41ed047e8c1697347741b16ed96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Проверка работы почтового сервера Dovecot</w:t>
      </w:r>
    </w:p>
    <w:p>
      <w:pPr>
        <w:numPr>
          <w:ilvl w:val="0"/>
          <w:numId w:val="1002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был открыт дополнительный терминал, в котором запущен мониторинг работы почтовых служб. В процессе тестирования отслеживались сообщения о подключениях клиентов, приёме и доставке почты, а также состоянии очереди сообщений.</w:t>
      </w:r>
    </w:p>
    <w:p>
      <w:pPr>
        <w:numPr>
          <w:ilvl w:val="0"/>
          <w:numId w:val="1000"/>
        </w:numPr>
        <w:pStyle w:val="CaptionedFigure"/>
      </w:pPr>
      <w:bookmarkStart w:id="45" w:name="fig:011"/>
      <w:r>
        <w:drawing>
          <wp:inline>
            <wp:extent cx="5334000" cy="3302540"/>
            <wp:effectExtent b="0" l="0" r="0" t="0"/>
            <wp:docPr descr="Рис. 6: Мониторинг почтовой службы Postfix и Dovecot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2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Мониторинг почтовой службы Postfix и Dovecot</w:t>
      </w:r>
    </w:p>
    <w:p>
      <w:pPr>
        <w:numPr>
          <w:ilvl w:val="0"/>
          <w:numId w:val="1002"/>
        </w:numPr>
      </w:pPr>
      <w:r>
        <w:t xml:space="preserve">Для просмотра почтовых сообщений, доставленных локальному пользователю, выполнен просмотр содержимого почтового ящика в формате Maildir. В результате отображены два тестовых сообщения со статусом «непрочитано», что подтверждает корректную доставку писем в каталог пользователя.</w:t>
      </w:r>
    </w:p>
    <w:p>
      <w:pPr>
        <w:numPr>
          <w:ilvl w:val="0"/>
          <w:numId w:val="1000"/>
        </w:numPr>
        <w:pStyle w:val="CaptionedFigure"/>
      </w:pPr>
      <w:bookmarkStart w:id="49" w:name="fig:012"/>
      <w:r>
        <w:drawing>
          <wp:inline>
            <wp:extent cx="5334000" cy="1361767"/>
            <wp:effectExtent b="0" l="0" r="0" t="0"/>
            <wp:docPr descr="Рис. 7: Просмотр почты в Maildir на сервере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1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Просмотр почты в Maildir на сервере</w:t>
      </w:r>
    </w:p>
    <w:p>
      <w:pPr>
        <w:numPr>
          <w:ilvl w:val="0"/>
          <w:numId w:val="1002"/>
        </w:numPr>
      </w:pPr>
      <w:r>
        <w:t xml:space="preserve">Попытка просмотра списка mailbox пользователя с использованием утилиты</w:t>
      </w:r>
      <w:r>
        <w:t xml:space="preserve"> </w:t>
      </w:r>
      <w:r>
        <w:rPr>
          <w:rStyle w:val="VerbatimChar"/>
        </w:rPr>
        <w:t xml:space="preserve">doveadm</w:t>
      </w:r>
      <w:r>
        <w:t xml:space="preserve"> </w:t>
      </w:r>
      <w:r>
        <w:t xml:space="preserve">без прав суперпользователя завершилась ошибкой доступа к сокету статистики Dovecot. Это поведение является ожидаемым и подтверждает корректную работу механизма разграничения прав доступа.</w:t>
      </w:r>
    </w:p>
    <w:p>
      <w:pPr>
        <w:numPr>
          <w:ilvl w:val="0"/>
          <w:numId w:val="1000"/>
        </w:numPr>
        <w:pStyle w:val="CaptionedFigure"/>
      </w:pPr>
      <w:bookmarkStart w:id="53" w:name="fig:013"/>
      <w:r>
        <w:drawing>
          <wp:inline>
            <wp:extent cx="5334000" cy="3431228"/>
            <wp:effectExtent b="0" l="0" r="0" t="0"/>
            <wp:docPr descr="Рис. 8: Проверка mailbox с помощью doveadm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1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Проверка mailbox с помощью doveadm</w:t>
      </w:r>
    </w:p>
    <w:p>
      <w:pPr>
        <w:numPr>
          <w:ilvl w:val="0"/>
          <w:numId w:val="1002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выполнен вход под пользовательской учётной записью и установка почтового клиента Evolution. После запуска приложения выполнена настройка новой почтовой учётной записи.</w:t>
      </w:r>
    </w:p>
    <w:p>
      <w:pPr>
        <w:numPr>
          <w:ilvl w:val="0"/>
          <w:numId w:val="1000"/>
        </w:numPr>
        <w:pStyle w:val="CaptionedFigure"/>
      </w:pPr>
      <w:bookmarkStart w:id="57" w:name="fig:014"/>
      <w:r>
        <w:drawing>
          <wp:inline>
            <wp:extent cx="5334000" cy="2106824"/>
            <wp:effectExtent b="0" l="0" r="0" t="0"/>
            <wp:docPr descr="Рис. 9: Окно сводки учётной записи Evolution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6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Окно сводки учётной записи Evolution</w:t>
      </w:r>
    </w:p>
    <w:p>
      <w:pPr>
        <w:numPr>
          <w:ilvl w:val="0"/>
          <w:numId w:val="1002"/>
        </w:numPr>
      </w:pPr>
      <w:r>
        <w:t xml:space="preserve">В процессе настройки почтового клиента указаны параметры подключения к почтовому серверу:</w:t>
      </w:r>
      <w:r>
        <w:br/>
      </w:r>
      <w:r>
        <w:t xml:space="preserve">– входящий сервер IMAPX с адресом</w:t>
      </w:r>
      <w:r>
        <w:t xml:space="preserve"> </w:t>
      </w:r>
      <w:r>
        <w:rPr>
          <w:rStyle w:val="VerbatimChar"/>
        </w:rPr>
        <w:t xml:space="preserve">mail.elsiaedadel.net</w:t>
      </w:r>
      <w:r>
        <w:t xml:space="preserve">;</w:t>
      </w:r>
      <w:r>
        <w:br/>
      </w:r>
      <w:r>
        <w:t xml:space="preserve">– исходящий сервер SMTP с тем же адресом;</w:t>
      </w:r>
      <w:r>
        <w:br/>
      </w:r>
      <w:r>
        <w:t xml:space="preserve">– имя пользователя соответствует системному логину;</w:t>
      </w:r>
      <w:r>
        <w:br/>
      </w:r>
      <w:r>
        <w:t xml:space="preserve">– для IMAP использован порт 143 с шифрованием STARTTLS;</w:t>
      </w:r>
      <w:r>
        <w:br/>
      </w:r>
      <w:r>
        <w:t xml:space="preserve">– для SMTP использован порт 25 без аутентификации.</w:t>
      </w:r>
    </w:p>
    <w:p>
      <w:pPr>
        <w:numPr>
          <w:ilvl w:val="0"/>
          <w:numId w:val="1000"/>
        </w:numPr>
      </w:pPr>
      <w:r>
        <w:t xml:space="preserve">Настройки успешно сохранены, подключение к серверу установлено.</w:t>
      </w:r>
    </w:p>
    <w:p>
      <w:pPr>
        <w:numPr>
          <w:ilvl w:val="0"/>
          <w:numId w:val="1002"/>
        </w:numPr>
      </w:pPr>
      <w:r>
        <w:t xml:space="preserve">Из почтового клиента Evolution отправлены тестовые сообщения самому себе. Все письма были успешно доставлены и отображены в папке «Входящие», что подтверждает корректную работу связки Postfix и Dovecot по протоколу IMAP.</w:t>
      </w:r>
    </w:p>
    <w:p>
      <w:pPr>
        <w:numPr>
          <w:ilvl w:val="0"/>
          <w:numId w:val="1000"/>
        </w:numPr>
        <w:pStyle w:val="CaptionedFigure"/>
      </w:pPr>
      <w:bookmarkStart w:id="61" w:name="fig:015"/>
      <w:r>
        <w:drawing>
          <wp:inline>
            <wp:extent cx="5334000" cy="5062203"/>
            <wp:effectExtent b="0" l="0" r="0" t="0"/>
            <wp:docPr descr="Рис. 10: Получение тестовых писем в Evolution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2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Получение тестовых писем в Evolution</w:t>
      </w:r>
    </w:p>
    <w:p>
      <w:pPr>
        <w:numPr>
          <w:ilvl w:val="0"/>
          <w:numId w:val="1002"/>
        </w:numPr>
      </w:pPr>
      <w:r>
        <w:t xml:space="preserve">Параллельно выполнена проверка почтового сервера с использованием протокола POP3 через Telnet. После успешной аутентификации пользователя получен список писем в почтовом ящике, выполнено чтение первого письма и удаление второго письма, после чего сеанс корректно завершён.</w:t>
      </w:r>
    </w:p>
    <w:p>
      <w:pPr>
        <w:numPr>
          <w:ilvl w:val="0"/>
          <w:numId w:val="1000"/>
        </w:numPr>
        <w:pStyle w:val="CaptionedFigure"/>
      </w:pPr>
      <w:bookmarkStart w:id="65" w:name="fig:016"/>
      <w:r>
        <w:drawing>
          <wp:inline>
            <wp:extent cx="5334000" cy="896428"/>
            <wp:effectExtent b="0" l="0" r="0" t="0"/>
            <wp:docPr descr="Рис. 11: Проверка POP3 через Telnet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Проверка POP3 через Telnet</w:t>
      </w:r>
    </w:p>
    <w:p>
      <w:pPr>
        <w:numPr>
          <w:ilvl w:val="0"/>
          <w:numId w:val="1002"/>
        </w:numPr>
      </w:pPr>
      <w:r>
        <w:t xml:space="preserve">Для подтверждения автоматизации конфигурации почтового сервера выполнено копирование конфигурационных файлов Dovecot в каталог</w:t>
      </w:r>
      <w:r>
        <w:t xml:space="preserve"> </w:t>
      </w:r>
      <w:r>
        <w:rPr>
          <w:rStyle w:val="VerbatimChar"/>
        </w:rPr>
        <w:t xml:space="preserve">/vagrant/provision/server/mail/</w:t>
      </w:r>
      <w:r>
        <w:t xml:space="preserve"> </w:t>
      </w:r>
      <w:r>
        <w:t xml:space="preserve">с целью последующего использования при provisioning виртуальной машины.</w:t>
      </w:r>
    </w:p>
    <w:p>
      <w:pPr>
        <w:numPr>
          <w:ilvl w:val="0"/>
          <w:numId w:val="1000"/>
        </w:numPr>
        <w:pStyle w:val="CaptionedFigure"/>
      </w:pPr>
      <w:bookmarkStart w:id="69" w:name="fig:017"/>
      <w:r>
        <w:drawing>
          <wp:inline>
            <wp:extent cx="5334000" cy="3852333"/>
            <wp:effectExtent b="0" l="0" r="0" t="0"/>
            <wp:docPr descr="Рис. 12: Копирование конфигурационных файлов Dovecot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12: Копирование конфигурационных файлов Dovecot</w:t>
      </w:r>
    </w:p>
    <w:p>
      <w:pPr>
        <w:numPr>
          <w:ilvl w:val="0"/>
          <w:numId w:val="1002"/>
        </w:numPr>
      </w:pPr>
      <w:r>
        <w:t xml:space="preserve">В файл автоматической настройки</w:t>
      </w:r>
      <w:r>
        <w:t xml:space="preserve"> </w:t>
      </w:r>
      <w:r>
        <w:rPr>
          <w:rStyle w:val="VerbatimChar"/>
        </w:rPr>
        <w:t xml:space="preserve">/vagrant/provision/server/mail.sh</w:t>
      </w:r>
      <w:r>
        <w:t xml:space="preserve"> </w:t>
      </w:r>
      <w:r>
        <w:t xml:space="preserve">добавлены действия по установке пакетов Dovecot и Telnet, настройке межсетевого экрана, конфигурации Postfix для использования Maildir, восстановлению контекстов SELinux, а также запуску и добавлению служб Postfix и Dovecot в автозагрузку.</w:t>
      </w:r>
    </w:p>
    <w:p>
      <w:pPr>
        <w:numPr>
          <w:ilvl w:val="0"/>
          <w:numId w:val="1000"/>
        </w:numPr>
        <w:pStyle w:val="CaptionedFigure"/>
      </w:pPr>
      <w:bookmarkStart w:id="73" w:name="fig:018"/>
      <w:r>
        <w:drawing>
          <wp:inline>
            <wp:extent cx="4741048" cy="3273398"/>
            <wp:effectExtent b="0" l="0" r="0" t="0"/>
            <wp:docPr descr="Рис. 13: Скрипт автоматической настройки почтового сервера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048" cy="3273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numPr>
          <w:ilvl w:val="0"/>
          <w:numId w:val="1000"/>
        </w:numPr>
        <w:pStyle w:val="ImageCaption"/>
      </w:pPr>
      <w:r>
        <w:t xml:space="preserve">Рис. 13: Скрипт автоматической настройки почтового сервера</w:t>
      </w:r>
    </w:p>
    <w:p>
      <w:pPr>
        <w:numPr>
          <w:ilvl w:val="0"/>
          <w:numId w:val="1002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выполнена корректировка provisioning-скрипта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 </w:t>
      </w:r>
      <w:r>
        <w:t xml:space="preserve">с добавлением установки почтового клиента Evolution, что обеспечивает автоматическую подготовку клиентского окружения при развёртывании виртуальной машины.</w:t>
      </w:r>
    </w:p>
    <w:bookmarkEnd w:id="74"/>
    <w:bookmarkEnd w:id="75"/>
    <w:bookmarkStart w:id="7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 настроен и протестирован почтовый сервер на базе Postfix и Dovecot. Реализована доставка и получение электронной почты с использованием протоколов SMTP, IMAP и POP3, выполнена настройка аутентификации пользователей и хранения почтовых ящиков в формате Maildir. Проверка работы сервера показала корректную доставку сообщений, успешное подключение почтовых клиентов и возможность доступа к почте как через графический интерфейс, так и через терминал. Настройка provisioning-скриптов обеспечила автоматизацию развёртывания и конфигурации почтовой подсистемы.</w:t>
      </w:r>
    </w:p>
    <w:bookmarkEnd w:id="76"/>
    <w:bookmarkStart w:id="7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За что отвечает протокол SMTP?</w:t>
      </w:r>
      <w:r>
        <w:br/>
      </w:r>
      <w:r>
        <w:t xml:space="preserve">Протокол SMTP (Simple Mail Transfer Protocol) предназначен для отправки и пересылки электронных писем. Он используется почтовыми клиентами для передачи исходящих сообщений на почтовый сервер, а также почтовыми серверами для обмена почтой между собой. SMTP не отвечает за хранение писем и их получение пользователями, а обеспечивает только доставку сообщений до сервера-получателя.</w:t>
      </w:r>
    </w:p>
    <w:p>
      <w:pPr>
        <w:pStyle w:val="BodyText"/>
      </w:pPr>
      <w:r>
        <w:rPr>
          <w:bCs/>
          <w:b/>
        </w:rPr>
        <w:t xml:space="preserve">2. За что отвечает протокол IMAP?</w:t>
      </w:r>
      <w:r>
        <w:br/>
      </w:r>
      <w:r>
        <w:t xml:space="preserve">Протокол IMAP (Internet Message Access Protocol) предназначен для получения и управления электронной почтой, хранящейся на сервере. Он позволяет пользователю просматривать письма, работать с папками, помечать сообщения как прочитанные, удалять или перемещать их, при этом сами письма остаются на сервере. IMAP удобен при работе с почтой с нескольких устройств.</w:t>
      </w:r>
    </w:p>
    <w:p>
      <w:pPr>
        <w:pStyle w:val="BodyText"/>
      </w:pPr>
      <w:r>
        <w:rPr>
          <w:bCs/>
          <w:b/>
        </w:rPr>
        <w:t xml:space="preserve">3. За что отвечает протокол POP3?</w:t>
      </w:r>
      <w:r>
        <w:br/>
      </w:r>
      <w:r>
        <w:t xml:space="preserve">Протокол POP3 (Post Office Protocol версии 3) используется для получения электронной почты с сервера. Как правило, при использовании POP3 письма загружаются на клиентский компьютер и могут быть удалены с сервера. Протокол ориентирован на простую модель «забрал и прочитал» и не поддерживает расширенное управление папками на сервере.</w:t>
      </w:r>
    </w:p>
    <w:p>
      <w:pPr>
        <w:pStyle w:val="BodyText"/>
      </w:pPr>
      <w:r>
        <w:rPr>
          <w:bCs/>
          <w:b/>
        </w:rPr>
        <w:t xml:space="preserve">4. В чём назначение Dovecot?</w:t>
      </w:r>
      <w:r>
        <w:br/>
      </w:r>
      <w:r>
        <w:t xml:space="preserve">Dovecot — это сервер получения электронной почты, реализующий протоколы IMAP и POP3. Он отвечает за аутентификацию пользователей, доступ к почтовым ящикам, хранение и выдачу сообщений клиентам. Dovecot обеспечивает безопасный и производительный доступ пользователей к почте.</w:t>
      </w:r>
    </w:p>
    <w:p>
      <w:pPr>
        <w:pStyle w:val="BodyText"/>
      </w:pPr>
      <w:r>
        <w:rPr>
          <w:bCs/>
          <w:b/>
        </w:rPr>
        <w:t xml:space="preserve">5. В каких файлах обычно находятся настройки работы Dovecot? За что отвечает каждый из файлов?</w:t>
      </w:r>
      <w:r>
        <w:br/>
      </w:r>
      <w:r>
        <w:t xml:space="preserve">Основные настройки Dovecot располагаются в каталоге</w:t>
      </w:r>
      <w:r>
        <w:t xml:space="preserve"> </w:t>
      </w:r>
      <w:r>
        <w:rPr>
          <w:rStyle w:val="VerbatimChar"/>
        </w:rPr>
        <w:t xml:space="preserve">/etc/dovecot/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dovecot.conf</w:t>
      </w:r>
      <w:r>
        <w:t xml:space="preserve"> </w:t>
      </w:r>
      <w:r>
        <w:t xml:space="preserve">— главный конфигурационный файл, в котором задаются общие параметры работы сервера, включая список поддерживаемых протоколов.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conf.d/10-auth.conf</w:t>
      </w:r>
      <w:r>
        <w:t xml:space="preserve"> </w:t>
      </w:r>
      <w:r>
        <w:t xml:space="preserve">— содержит настройки механизмов аутентификации пользователей.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conf.d/auth-system.conf.ext</w:t>
      </w:r>
      <w:r>
        <w:t xml:space="preserve"> </w:t>
      </w:r>
      <w:r>
        <w:t xml:space="preserve">— определяет источники данных для аутентификации и поиска пользователей (PAM, passwd и другие).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conf.d/10-mail.conf</w:t>
      </w:r>
      <w:r>
        <w:t xml:space="preserve"> </w:t>
      </w:r>
      <w:r>
        <w:t xml:space="preserve">— отвечает за настройку расположения и формата почтовых ящиков пользователей.</w:t>
      </w:r>
      <w:r>
        <w:t xml:space="preserve"> </w:t>
      </w:r>
      <w:r>
        <w:t xml:space="preserve">- другие файлы в каталоге</w:t>
      </w:r>
      <w:r>
        <w:t xml:space="preserve"> </w:t>
      </w:r>
      <w:r>
        <w:rPr>
          <w:rStyle w:val="VerbatimChar"/>
        </w:rPr>
        <w:t xml:space="preserve">conf.d</w:t>
      </w:r>
      <w:r>
        <w:t xml:space="preserve"> </w:t>
      </w:r>
      <w:r>
        <w:t xml:space="preserve">— используются для более детальной настройки SSL, логирования, лимитов и производительности.</w:t>
      </w:r>
    </w:p>
    <w:p>
      <w:pPr>
        <w:pStyle w:val="BodyText"/>
      </w:pPr>
      <w:r>
        <w:rPr>
          <w:bCs/>
          <w:b/>
        </w:rPr>
        <w:t xml:space="preserve">6. В чём назначение Postfix?</w:t>
      </w:r>
      <w:r>
        <w:br/>
      </w:r>
      <w:r>
        <w:t xml:space="preserve">Postfix — это почтовый сервер, реализующий протокол SMTP. Он отвечает за приём, маршрутизацию и доставку электронных писем, как локальных, так и отправляемых на другие почтовые серверы. Postfix используется как MTA (Mail Transfer Agent) и часто работает совместно с Dovecot, который обеспечивает получение почты пользователями.</w:t>
      </w:r>
    </w:p>
    <w:p>
      <w:pPr>
        <w:pStyle w:val="BodyText"/>
      </w:pPr>
      <w:r>
        <w:rPr>
          <w:bCs/>
          <w:b/>
        </w:rPr>
        <w:t xml:space="preserve">7. Какие методы аутентификации пользователей можно использовать в Dovecot и в чём их отличие?</w:t>
      </w:r>
      <w:r>
        <w:br/>
      </w:r>
      <w:r>
        <w:t xml:space="preserve">В Dovecot могут использоваться различные методы аутентификации: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 </w:t>
      </w:r>
      <w:r>
        <w:t xml:space="preserve">— передача логина и пароля в открытом виде, обычно применяется совместно с TLS/SSL.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— схож с plain, но использует другую последовательность передачи данных.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cram-md5</w:t>
      </w:r>
      <w:r>
        <w:t xml:space="preserve"> </w:t>
      </w:r>
      <w:r>
        <w:t xml:space="preserve">— использует хэширование пароля, повышая уровень безопасности.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digest-md5</w:t>
      </w:r>
      <w:r>
        <w:t xml:space="preserve"> </w:t>
      </w:r>
      <w:r>
        <w:t xml:space="preserve">— обеспечивает защиту от перехвата пароля и повторной отправки данных.</w:t>
      </w:r>
      <w:r>
        <w:t xml:space="preserve"> </w:t>
      </w:r>
      <w:r>
        <w:t xml:space="preserve">- аутентификация через PAM — использует системные механизмы проверки пользователей.</w:t>
      </w:r>
      <w:r>
        <w:br/>
      </w:r>
      <w:r>
        <w:t xml:space="preserve">Основное отличие методов заключается в уровне безопасности и способе передачи учётных данных.</w:t>
      </w:r>
    </w:p>
    <w:p>
      <w:pPr>
        <w:pStyle w:val="BodyText"/>
      </w:pPr>
      <w:r>
        <w:rPr>
          <w:bCs/>
          <w:b/>
        </w:rPr>
        <w:t xml:space="preserve">8. Приведите пример заголовка письма с пояснениями его полей.</w:t>
      </w:r>
      <w:r>
        <w:br/>
      </w:r>
      <w:r>
        <w:t xml:space="preserve">Пример заголовка письма:</w:t>
      </w:r>
      <w:r>
        <w:br/>
      </w:r>
      <w:r>
        <w:t xml:space="preserve">From: user@example.net — адрес отправителя.</w:t>
      </w:r>
      <w:r>
        <w:br/>
      </w:r>
      <w:r>
        <w:t xml:space="preserve">To: admin@example.net — адрес получателя.</w:t>
      </w:r>
      <w:r>
        <w:br/>
      </w:r>
      <w:r>
        <w:t xml:space="preserve">Subject: Test message — тема письма.</w:t>
      </w:r>
      <w:r>
        <w:br/>
      </w:r>
      <w:r>
        <w:t xml:space="preserve">Date: Sun, 04 Jan 2026 08:43:15 +0000 — дата и время отправки сообщения.</w:t>
      </w:r>
      <w:r>
        <w:br/>
      </w:r>
      <w:r>
        <w:t xml:space="preserve">Message-ID: уникальный идентификатор письма, используемый для его однозначного определения.</w:t>
      </w:r>
    </w:p>
    <w:p>
      <w:pPr>
        <w:pStyle w:val="BodyText"/>
      </w:pPr>
      <w:r>
        <w:rPr>
          <w:bCs/>
          <w:b/>
        </w:rPr>
        <w:t xml:space="preserve">9. Приведите примеры использования команд для работы с почтовыми протоколами через терминал.</w:t>
      </w:r>
      <w:r>
        <w:br/>
      </w:r>
      <w:r>
        <w:t xml:space="preserve">Для проверки работы POP3 можно подключиться к серверу через Telnet на порт 110, выполнить аутентификацию пользователя, получить список писем командой list и просмотреть письмо командой retr.</w:t>
      </w:r>
      <w:r>
        <w:br/>
      </w:r>
      <w:r>
        <w:t xml:space="preserve">Аналогично можно использовать Telnet или OpenSSL для проверки SMTP и IMAP, отправляя команды протоколов напрямую и анализируя ответы сервера.</w:t>
      </w:r>
    </w:p>
    <w:p>
      <w:pPr>
        <w:pStyle w:val="BodyText"/>
      </w:pPr>
      <w:r>
        <w:rPr>
          <w:bCs/>
          <w:b/>
        </w:rPr>
        <w:t xml:space="preserve">10. Приведите примеры с пояснениями по работе с doveadm.</w:t>
      </w:r>
      <w:r>
        <w:br/>
      </w:r>
      <w:r>
        <w:t xml:space="preserve">Утилита doveadm используется для администрирования Dovecot: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doveadm mailbox list -u user</w:t>
      </w:r>
      <w:r>
        <w:t xml:space="preserve"> </w:t>
      </w:r>
      <w:r>
        <w:t xml:space="preserve">— отображает список почтовых ящиков пользователя.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doveadm mailbox status -u user messages INBOX</w:t>
      </w:r>
      <w:r>
        <w:t xml:space="preserve"> </w:t>
      </w:r>
      <w:r>
        <w:t xml:space="preserve">— показывает количество сообщений в папке INBOX.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doveadm auth test user пароль</w:t>
      </w:r>
      <w:r>
        <w:t xml:space="preserve"> </w:t>
      </w:r>
      <w:r>
        <w:t xml:space="preserve">— проверяет корректность аутентификации пользователя.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doveadm quota get -u user</w:t>
      </w:r>
      <w:r>
        <w:t xml:space="preserve"> </w:t>
      </w:r>
      <w:r>
        <w:t xml:space="preserve">— отображает информацию о квотах почтового ящика.</w:t>
      </w:r>
    </w:p>
    <w:p>
      <w:pPr>
        <w:pStyle w:val="BodyText"/>
      </w:pPr>
      <w:r>
        <w:t xml:space="preserve">Команды doveadm позволяют администратору диагностировать работу почтового сервера, проверять доступ пользователей и состояние их почтовых ящиков.</w:t>
      </w:r>
    </w:p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Элсаиед Адел</dc:creator>
  <dc:language>ru-RU</dc:language>
  <cp:keywords/>
  <dcterms:created xsi:type="dcterms:W3CDTF">2026-01-04T10:11:51Z</dcterms:created>
  <dcterms:modified xsi:type="dcterms:W3CDTF">2026-01-04T10:11:51Z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POP3/IMAP 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