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9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fefd752056ebd8599b735252c6f560f4e7cbb6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и SMTP-аутентификации в Dovecot и Postfix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выполнен вход под учётной записью пользователя с последующим переходом в режим суперпользователя. Это необходимо для внесения изменений в системные конфигурационные файлы почтовых сервисов.</w:t>
      </w:r>
    </w:p>
    <w:p>
      <w:pPr>
        <w:numPr>
          <w:ilvl w:val="0"/>
          <w:numId w:val="1001"/>
        </w:numPr>
      </w:pPr>
      <w:r>
        <w:t xml:space="preserve">В отдельном терминальном окне был запущен мониторинг журнала работы почтовой службы. Файл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используется для отслеживания процессов приёма, передачи и доставки почты, а также для анализа взаимодействия Postfix и Dovecot в режиме реального времени.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был изменён список поддерживаемых протоколов. В параметр</w:t>
      </w:r>
      <w:r>
        <w:t xml:space="preserve"> </w:t>
      </w:r>
      <w:r>
        <w:rPr>
          <w:rStyle w:val="VerbatimChar"/>
        </w:rPr>
        <w:t xml:space="preserve">protocols</w:t>
      </w:r>
      <w:r>
        <w:t xml:space="preserve"> </w:t>
      </w:r>
      <w:r>
        <w:t xml:space="preserve">добавлен протокол LMTP, что позволяет Dovecot принимать почтовые сообщения от Postfix по локальному протоколу доставки.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2792015"/>
            <wp:effectExtent b="0" l="0" r="0" t="0"/>
            <wp:docPr descr="Рис. 1: Добавление протокола LMTP в dovecot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Добавление протокола LMTP в dovecot.conf</w:t>
      </w:r>
    </w:p>
    <w:p>
      <w:pPr>
        <w:numPr>
          <w:ilvl w:val="0"/>
          <w:numId w:val="1001"/>
        </w:numPr>
      </w:pPr>
      <w:r>
        <w:t xml:space="preserve">Для организации связи между Postfix и Dovecot по протоколу LMTP был настроен сервис</w:t>
      </w:r>
      <w:r>
        <w:t xml:space="preserve"> </w:t>
      </w:r>
      <w:r>
        <w:rPr>
          <w:rStyle w:val="VerbatimChar"/>
        </w:rPr>
        <w:t xml:space="preserve">lmtp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. В конфигурации определён UNIX-сокет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, принадлежащий пользователю и группе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с правами доступа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 Это обеспечивает безопасный локальный обмен почтовыми сообщениями.</w:t>
      </w:r>
    </w:p>
    <w:p>
      <w:pPr>
        <w:numPr>
          <w:ilvl w:val="0"/>
          <w:numId w:val="1000"/>
        </w:numPr>
        <w:pStyle w:val="CaptionedFigure"/>
      </w:pPr>
      <w:bookmarkStart w:id="28" w:name="fig:007"/>
      <w:r>
        <w:drawing>
          <wp:inline>
            <wp:extent cx="5334000" cy="2892429"/>
            <wp:effectExtent b="0" l="0" r="0" t="0"/>
            <wp:docPr descr="Рис. 2: Настройка сервиса LMTP в Dovecot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сервиса LMTP в Dovecot</w:t>
      </w:r>
    </w:p>
    <w:p>
      <w:pPr>
        <w:numPr>
          <w:ilvl w:val="0"/>
          <w:numId w:val="1001"/>
        </w:numPr>
      </w:pPr>
      <w:r>
        <w:t xml:space="preserve">В Postfix была изменена схема доставки почты. Передача сообщений в почтовый ящик пользователя была настроена через LMTP с использованием ранее созданного UNIX-сокета, что позволяет Postfix передавать почту Dovecot не напрямую, а через локальный механизм доставки.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был задан формат имени пользователя для аутентификации. Использование параметра</w:t>
      </w:r>
      <w:r>
        <w:t xml:space="preserve"> </w:t>
      </w:r>
      <w:r>
        <w:rPr>
          <w:rStyle w:val="VerbatimChar"/>
        </w:rPr>
        <w:t xml:space="preserve">auth_username_format = %Ln</w:t>
      </w:r>
      <w:r>
        <w:t xml:space="preserve"> </w:t>
      </w:r>
      <w:r>
        <w:t xml:space="preserve">обеспечивает работу с логином пользователя без доменной части и приведение имени к нижнему регистру.</w:t>
      </w:r>
    </w:p>
    <w:p>
      <w:pPr>
        <w:numPr>
          <w:ilvl w:val="0"/>
          <w:numId w:val="1000"/>
        </w:numPr>
        <w:pStyle w:val="CaptionedFigure"/>
      </w:pPr>
      <w:bookmarkStart w:id="32" w:name="fig:008"/>
      <w:r>
        <w:drawing>
          <wp:inline>
            <wp:extent cx="5334000" cy="1565212"/>
            <wp:effectExtent b="0" l="0" r="0" t="0"/>
            <wp:docPr descr="Рис. 3: Настройка формата имени пользовател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формата имени пользователя</w:t>
      </w:r>
    </w:p>
    <w:p>
      <w:pPr>
        <w:numPr>
          <w:ilvl w:val="0"/>
          <w:numId w:val="1001"/>
        </w:numPr>
      </w:pPr>
      <w:r>
        <w:t xml:space="preserve">После внесения изменений конфигурационные файлы были применены путём перезапуска сервисов Postfix и Dovecot.</w:t>
      </w:r>
    </w:p>
    <w:p>
      <w:pPr>
        <w:numPr>
          <w:ilvl w:val="0"/>
          <w:numId w:val="1001"/>
        </w:numPr>
      </w:pPr>
      <w:r>
        <w:t xml:space="preserve">Из-под учётной записи пользователя на клиентской машине было отправлено тестовое письмо. В процессе мониторинга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зафиксированы этапы SMTP-сеанса, передача сообщения по LMTP и его успешная доставка в почтовый ящик пользователя. Это подтверждает корректную работу механизма LMTP.</w:t>
      </w:r>
    </w:p>
    <w:p>
      <w:pPr>
        <w:numPr>
          <w:ilvl w:val="0"/>
          <w:numId w:val="1000"/>
        </w:numPr>
        <w:pStyle w:val="CaptionedFigure"/>
      </w:pPr>
      <w:bookmarkStart w:id="36" w:name="fig:009"/>
      <w:r>
        <w:drawing>
          <wp:inline>
            <wp:extent cx="5334000" cy="1824397"/>
            <wp:effectExtent b="0" l="0" r="0" t="0"/>
            <wp:docPr descr="Рис. 4: Журнал доставки письма через LMT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Журнал доставки письма через LMTP</w:t>
      </w:r>
    </w:p>
    <w:p>
      <w:pPr>
        <w:numPr>
          <w:ilvl w:val="0"/>
          <w:numId w:val="1001"/>
        </w:numPr>
      </w:pPr>
      <w:r>
        <w:t xml:space="preserve">На сервере был просмотрен почтовый ящик пользователя в формате Maildir. В списке сообщений обнаружено тестовое письмо с темой</w:t>
      </w:r>
      <w:r>
        <w:t xml:space="preserve"> </w:t>
      </w:r>
      <w:r>
        <w:rPr>
          <w:iCs/>
          <w:i/>
        </w:rPr>
        <w:t xml:space="preserve">LMTP test</w:t>
      </w:r>
      <w:r>
        <w:t xml:space="preserve">, что подтверждает успешную доставку сообщения.</w:t>
      </w:r>
    </w:p>
    <w:p>
      <w:pPr>
        <w:numPr>
          <w:ilvl w:val="0"/>
          <w:numId w:val="1000"/>
        </w:numPr>
        <w:pStyle w:val="CaptionedFigure"/>
      </w:pPr>
      <w:bookmarkStart w:id="40" w:name="fig:010"/>
      <w:r>
        <w:drawing>
          <wp:inline>
            <wp:extent cx="4702628" cy="1329337"/>
            <wp:effectExtent b="0" l="0" r="0" t="0"/>
            <wp:docPr descr="Рис. 5: Проверка почтового ящика пользователя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13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почтового ящика пользователя</w:t>
      </w:r>
    </w:p>
    <w:bookmarkEnd w:id="41"/>
    <w:bookmarkStart w:id="58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была настроена служба</w:t>
      </w:r>
      <w:r>
        <w:t xml:space="preserve"> </w:t>
      </w:r>
      <w:r>
        <w:rPr>
          <w:rStyle w:val="VerbatimChar"/>
        </w:rPr>
        <w:t xml:space="preserve">auth</w:t>
      </w:r>
      <w:r>
        <w:t xml:space="preserve">.</w:t>
      </w:r>
      <w:r>
        <w:br/>
      </w:r>
      <w:r>
        <w:t xml:space="preserve">UNIX-сокет</w:t>
      </w:r>
      <w:r>
        <w:t xml:space="preserve"> </w:t>
      </w:r>
      <w:r>
        <w:rPr>
          <w:rStyle w:val="VerbatimChar"/>
        </w:rPr>
        <w:t xml:space="preserve">/var/spool/postfix/private/auth</w:t>
      </w:r>
      <w:r>
        <w:t xml:space="preserve"> </w:t>
      </w:r>
      <w:r>
        <w:t xml:space="preserve">используется Postfix для выполнения SMTP-аутентификации через Dovecot и принадлежит пользователю и группе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0660</w:t>
      </w:r>
      <w:r>
        <w:t xml:space="preserve">.</w:t>
      </w:r>
      <w:r>
        <w:br/>
      </w:r>
      <w:r>
        <w:t xml:space="preserve">Сокет</w:t>
      </w:r>
      <w:r>
        <w:t xml:space="preserve"> </w:t>
      </w:r>
      <w:r>
        <w:rPr>
          <w:rStyle w:val="VerbatimChar"/>
        </w:rPr>
        <w:t xml:space="preserve">auth-userdb</w:t>
      </w:r>
      <w:r>
        <w:t xml:space="preserve"> </w:t>
      </w:r>
      <w:r>
        <w:t xml:space="preserve">предназначен для внутренних нужд Dovecot и обеспечивает доступ к базе пользователей, работая от имени пользователя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11"/>
      <w:r>
        <w:drawing>
          <wp:inline>
            <wp:extent cx="5334000" cy="3235617"/>
            <wp:effectExtent b="0" l="0" r="0" t="0"/>
            <wp:docPr descr="Рис. 6: Настройка службы auth в Doveco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Настройка службы auth в Dovecot</w:t>
      </w:r>
    </w:p>
    <w:p>
      <w:pPr>
        <w:numPr>
          <w:ilvl w:val="0"/>
          <w:numId w:val="1002"/>
        </w:numPr>
      </w:pPr>
      <w:r>
        <w:t xml:space="preserve">В Postfix был задан тип SASL-аутентификации и путь к UNIX-сокету Dovecot. Это позволило SMTP-серверу использовать механизмы аутентификации Dovecot при приёме почтовых сообщений от клиентов.</w:t>
      </w:r>
    </w:p>
    <w:p>
      <w:pPr>
        <w:numPr>
          <w:ilvl w:val="0"/>
          <w:numId w:val="1000"/>
        </w:numPr>
        <w:pStyle w:val="CaptionedFigure"/>
      </w:pPr>
      <w:bookmarkStart w:id="49" w:name="fig:012"/>
      <w:r>
        <w:drawing>
          <wp:inline>
            <wp:extent cx="5334000" cy="679774"/>
            <wp:effectExtent b="0" l="0" r="0" t="0"/>
            <wp:docPr descr="Рис. 7: Настройка SASL-аутентификации в Postfix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Настройка SASL-аутентификации в Postfix</w:t>
      </w:r>
    </w:p>
    <w:p>
      <w:pPr>
        <w:numPr>
          <w:ilvl w:val="0"/>
          <w:numId w:val="1002"/>
        </w:numPr>
      </w:pPr>
      <w:r>
        <w:t xml:space="preserve">Для предотвращения использования сервера в качестве SMTP relay была настроена цепочка ограничений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. Указанные параметры обеспечивают отклонение некорректных адресов, запрет пересылки почты для неавторизованных доменов, а также разрешение доставки для доверенных сетей и аутентифицированных пользователей.</w:t>
      </w:r>
    </w:p>
    <w:p>
      <w:pPr>
        <w:numPr>
          <w:ilvl w:val="0"/>
          <w:numId w:val="1002"/>
        </w:numPr>
      </w:pPr>
      <w:r>
        <w:t xml:space="preserve">В параметре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был ограничен приём почты только с локального адресного пространства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, что дополнительно повышает уровень безопасности SMTP-сервера.</w:t>
      </w:r>
    </w:p>
    <w:p>
      <w:pPr>
        <w:numPr>
          <w:ilvl w:val="0"/>
          <w:numId w:val="1002"/>
        </w:numPr>
      </w:pPr>
      <w:r>
        <w:t xml:space="preserve">Для проверки работы SMTP-аутентификации 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был временно включён SMTP-сервис с поддержкой SASL-аутентификации. Это позволило выполнить тестирование механизма авторизации без использования защищённого соединения.</w:t>
      </w:r>
    </w:p>
    <w:p>
      <w:pPr>
        <w:numPr>
          <w:ilvl w:val="0"/>
          <w:numId w:val="1000"/>
        </w:numPr>
        <w:pStyle w:val="CaptionedFigure"/>
      </w:pPr>
      <w:bookmarkStart w:id="53" w:name="fig:013"/>
      <w:r>
        <w:drawing>
          <wp:inline>
            <wp:extent cx="5334000" cy="4268384"/>
            <wp:effectExtent b="0" l="0" r="0" t="0"/>
            <wp:docPr descr="Рис. 8: Изменение master.cf для тестирования SMTP AUTH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8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Изменение master.cf для тестирования SMTP AUTH</w:t>
      </w:r>
    </w:p>
    <w:p>
      <w:pPr>
        <w:numPr>
          <w:ilvl w:val="0"/>
          <w:numId w:val="1002"/>
        </w:numPr>
      </w:pPr>
      <w:r>
        <w:t xml:space="preserve">На клиентской машине была установлена утилита telnet. После генерации строки аутентификации в формате base64 было выполнено подключение к SMTP-серверу по порту 25. В ходе тестирования подтверждено наличие механизма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, а успешная авторизация пользователя свидетельствует о корректной настройке SMTP-аутентификации.</w:t>
      </w:r>
    </w:p>
    <w:p>
      <w:pPr>
        <w:numPr>
          <w:ilvl w:val="0"/>
          <w:numId w:val="1000"/>
        </w:numPr>
        <w:pStyle w:val="CaptionedFigure"/>
      </w:pPr>
      <w:bookmarkStart w:id="57" w:name="fig:014"/>
      <w:r>
        <w:drawing>
          <wp:inline>
            <wp:extent cx="5334000" cy="3205408"/>
            <wp:effectExtent b="0" l="0" r="0" t="0"/>
            <wp:docPr descr="Рис. 9: Проверка SMTP-аутентификации через telnet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Проверка SMTP-аутентификации через telnet</w:t>
      </w:r>
    </w:p>
    <w:bookmarkEnd w:id="58"/>
    <w:bookmarkStart w:id="79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была выполнена настройка поддержки TLS для SMTP с использованием временного самоподписанного сертификата Dovecot. Во избежание проблем с SELinux сертификат и закрытый ключ были предварительно скопированы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стандартные каталоги TLS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5"/>
      <w:r>
        <w:drawing>
          <wp:inline>
            <wp:extent cx="5334000" cy="937398"/>
            <wp:effectExtent b="0" l="0" r="0" t="0"/>
            <wp:docPr descr="Рис. 10: Копирование сертификата и ключа Dovecot для TLS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Копирование сертификата и ключа Dovecot для TLS</w:t>
      </w:r>
    </w:p>
    <w:p>
      <w:pPr>
        <w:numPr>
          <w:ilvl w:val="0"/>
          <w:numId w:val="1003"/>
        </w:numPr>
      </w:pPr>
      <w:r>
        <w:t xml:space="preserve">В конфигурации Postfix были заданы пути к TLS-сертификату и ключу, а также настроено хранилище кэша TLS-сессий и уровень безопасности. Уровень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разрешает использование шифрования при поддержке его клиентом, не делая TLS обязательным для всех соединений.</w:t>
      </w:r>
    </w:p>
    <w:p>
      <w:pPr>
        <w:numPr>
          <w:ilvl w:val="0"/>
          <w:numId w:val="1003"/>
        </w:numPr>
      </w:pPr>
      <w:r>
        <w:t xml:space="preserve">Для разделения обычного SMTP и SMTP over TLS была изменена конфигурация файла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. Основной SMTP-сервис оставлен без принудительного шифрования, а для службы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(порт 587) включено обязательное использование TLS и SMTP-аутентификации. Это соответствует общепринятой практике безопасной отправки почты клиентами.</w:t>
      </w:r>
    </w:p>
    <w:p>
      <w:pPr>
        <w:numPr>
          <w:ilvl w:val="0"/>
          <w:numId w:val="1000"/>
        </w:numPr>
        <w:pStyle w:val="CaptionedFigure"/>
      </w:pPr>
      <w:bookmarkStart w:id="66" w:name="fig:017"/>
      <w:r>
        <w:drawing>
          <wp:inline>
            <wp:extent cx="5334000" cy="3947629"/>
            <wp:effectExtent b="0" l="0" r="0" t="0"/>
            <wp:docPr descr="Рис. 11: Настройка master.cf для SMTP over TLS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Настройка master.cf для SMTP over TLS</w:t>
      </w:r>
    </w:p>
    <w:p>
      <w:pPr>
        <w:numPr>
          <w:ilvl w:val="0"/>
          <w:numId w:val="1003"/>
        </w:numPr>
      </w:pPr>
      <w:r>
        <w:t xml:space="preserve">На сервере был настроен межсетевой экран: разрешена служба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, обеспечивающая приём почты по порту 587. После внесения изменений конфигурация firewall была перезагружена для применения правил.</w:t>
      </w:r>
    </w:p>
    <w:p>
      <w:pPr>
        <w:numPr>
          <w:ilvl w:val="0"/>
          <w:numId w:val="1003"/>
        </w:numPr>
      </w:pPr>
      <w:r>
        <w:t xml:space="preserve">Почтовая служба Postfix была перезапущена, что позволило применить все изменения, связанные с TLS и портом submission.</w:t>
      </w:r>
    </w:p>
    <w:p>
      <w:pPr>
        <w:numPr>
          <w:ilvl w:val="0"/>
          <w:numId w:val="1003"/>
        </w:numPr>
      </w:pPr>
      <w:r>
        <w:t xml:space="preserve">На клиентской виртуальной машине было выполнено подключение к SMTP-серверу по порту 587 с использованием STARTTLS через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. В ходе сеанса подтверждено установление TLS-соединения, использование самоподписанного сертификата и успешное объявление сервером механизмов аутентификации.</w:t>
      </w:r>
    </w:p>
    <w:p>
      <w:pPr>
        <w:numPr>
          <w:ilvl w:val="0"/>
          <w:numId w:val="1000"/>
        </w:numPr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EHLO</w:t>
      </w:r>
      <w:r>
        <w:t xml:space="preserve"> </w:t>
      </w:r>
      <w:r>
        <w:t xml:space="preserve">сервер сообщил о поддержке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, а успешная аутентификация пользователя подтвердила корректность настройки SMTP over TLS.</w:t>
      </w:r>
    </w:p>
    <w:p>
      <w:pPr>
        <w:numPr>
          <w:ilvl w:val="0"/>
          <w:numId w:val="1000"/>
        </w:numPr>
        <w:pStyle w:val="CaptionedFigure"/>
      </w:pPr>
      <w:bookmarkStart w:id="70" w:name="fig:018"/>
      <w:r>
        <w:drawing>
          <wp:inline>
            <wp:extent cx="5334000" cy="3709784"/>
            <wp:effectExtent b="0" l="0" r="0" t="0"/>
            <wp:docPr descr="Рис. 12: Проверка SMTP over TLS через openssl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Проверка SMTP over TLS через openssl</w:t>
      </w:r>
    </w:p>
    <w:p>
      <w:pPr>
        <w:numPr>
          <w:ilvl w:val="0"/>
          <w:numId w:val="1003"/>
        </w:numPr>
      </w:pPr>
      <w:r>
        <w:t xml:space="preserve">Корректность отправки почтовых сообщений была дополнительно проверена с использованием почтового клиента</w:t>
      </w:r>
      <w:r>
        <w:t xml:space="preserve"> </w:t>
      </w:r>
      <w:r>
        <w:rPr>
          <w:bCs/>
          <w:b/>
        </w:rPr>
        <w:t xml:space="preserve">Evolution</w:t>
      </w:r>
      <w:r>
        <w:t xml:space="preserve">. В настройках учётной записи для SMTP-сервера были указаны порт 587, метод шифрования STARTTLS и обычный пароль пользователя. Отправленные письма были успешно доставлены в почтовый ящик.</w:t>
      </w:r>
    </w:p>
    <w:p>
      <w:pPr>
        <w:numPr>
          <w:ilvl w:val="0"/>
          <w:numId w:val="1000"/>
        </w:numPr>
        <w:pStyle w:val="CaptionedFigure"/>
      </w:pPr>
      <w:bookmarkStart w:id="74" w:name="fig:019"/>
      <w:r>
        <w:drawing>
          <wp:inline>
            <wp:extent cx="5334000" cy="3010214"/>
            <wp:effectExtent b="0" l="0" r="0" t="0"/>
            <wp:docPr descr="Рис. 13: Отправка почты через Evolution по TLS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Отправка почты через Evolution по TLS</w:t>
      </w:r>
    </w:p>
    <w:p>
      <w:pPr>
        <w:numPr>
          <w:ilvl w:val="0"/>
          <w:numId w:val="1003"/>
        </w:numPr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зафиксированы этапы TLS-сеанса, SMTP-аутентификация пользователя и передача сообщения по LMTP в Dovecot с последующей доставкой в почтовый ящик. Это подтверждает корректную работу всей цепочки: SMTP over TLS → SASL-аутентификация → LMTP-доставка.</w:t>
      </w:r>
    </w:p>
    <w:p>
      <w:pPr>
        <w:numPr>
          <w:ilvl w:val="0"/>
          <w:numId w:val="1000"/>
        </w:numPr>
        <w:pStyle w:val="CaptionedFigure"/>
      </w:pPr>
      <w:bookmarkStart w:id="78" w:name="fig:020"/>
      <w:r>
        <w:drawing>
          <wp:inline>
            <wp:extent cx="5334000" cy="1951342"/>
            <wp:effectExtent b="0" l="0" r="0" t="0"/>
            <wp:docPr descr="Рис. 14: Журнал доставки письма по SMTP over TLS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Журнал доставки письма по SMTP over TLS</w:t>
      </w:r>
    </w:p>
    <w:bookmarkEnd w:id="79"/>
    <w:bookmarkStart w:id="92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4"/>
        </w:numPr>
      </w:pPr>
      <w:r>
        <w:t xml:space="preserve">Для сохранения конфигурации почтового сервера в системе автоматизированного развёртывания Vagrant 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В соответствующие подкаталоги были скопированы актуальные конфигурационные файлы Dovecot и Postfix.</w:t>
      </w:r>
    </w:p>
    <w:p>
      <w:pPr>
        <w:numPr>
          <w:ilvl w:val="0"/>
          <w:numId w:val="1000"/>
        </w:numPr>
        <w:pStyle w:val="CaptionedFigure"/>
      </w:pPr>
      <w:bookmarkStart w:id="83" w:name="fig:021"/>
      <w:r>
        <w:drawing>
          <wp:inline>
            <wp:extent cx="5334000" cy="1002594"/>
            <wp:effectExtent b="0" l="0" r="0" t="0"/>
            <wp:docPr descr="Рис. 15: Копирование конфигурационных файлов в каталог provision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Копирование конфигурационных файлов в каталог provision</w:t>
      </w:r>
    </w:p>
    <w:p>
      <w:pPr>
        <w:numPr>
          <w:ilvl w:val="0"/>
          <w:numId w:val="1004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были внесены изменения, обеспечивающие автоматическую установку необходимых пакетов, копирование конфигурационных файлов, настройку межсетевого экрана, включение и запуск Postfix, а также полную конфигурацию Postfix для работы с Dovecot, SMTP-аутентификацией и SMTP over TLS. Это позволяет при повторном развёртывании виртуальной машины автоматически получать полностью настроенный почтовый сервер.</w:t>
      </w:r>
    </w:p>
    <w:p>
      <w:pPr>
        <w:pStyle w:val="CaptionedFigure"/>
      </w:pPr>
      <w:bookmarkStart w:id="87" w:name="fig:022"/>
      <w:r>
        <w:drawing>
          <wp:inline>
            <wp:extent cx="5334000" cy="3827491"/>
            <wp:effectExtent b="0" l="0" r="0" t="0"/>
            <wp:docPr descr="Рис. 16: Изменения в provisioning-скрипте mail.sh на сервере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Изменения в provisioning-скрипте mail.sh на сервере</w:t>
      </w:r>
    </w:p>
    <w:p>
      <w:pPr>
        <w:numPr>
          <w:ilvl w:val="0"/>
          <w:numId w:val="1005"/>
        </w:numPr>
        <w:pStyle w:val="Compact"/>
      </w:pPr>
      <w:r>
        <w:t xml:space="preserve">В provisioning-скрипт клиента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была добавлена установка утилиты telnet. Это необходимо для возможности проверки SMTP-соединений и аутентификации с клиентской стороны после автоматического развёртывания виртуальной машины.</w:t>
      </w:r>
    </w:p>
    <w:p>
      <w:pPr>
        <w:pStyle w:val="CaptionedFigure"/>
      </w:pPr>
      <w:bookmarkStart w:id="91" w:name="fig:023"/>
      <w:r>
        <w:drawing>
          <wp:inline>
            <wp:extent cx="5240510" cy="2343630"/>
            <wp:effectExtent b="0" l="0" r="0" t="0"/>
            <wp:docPr descr="Рис. 17: Изменения в provisioning-скрипте mail.sh на клиенте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510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Изменения в provisioning-скрипте mail.sh на клиенте</w:t>
      </w:r>
    </w:p>
    <w:bookmarkEnd w:id="92"/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почтового сервера на базе Postfix и Dovecot, реализована доставка почты по протоколу LMTP, а также настроены механизмы SMTP-аутентификации и SMTP over TLS. Были проверены процессы приёма, передачи и доставки почтовых сообщений, проанализированы журналы работы почтовых служб и подтверждена корректность функционирования всей цепочки обработки почты. Дополнительно выполнена интеграция настроек в provisioning-скрипты Vagrant, что обеспечивает воспроизводимость конфигурации и автоматизацию развёртывания почтовой инфраструктуры. Проведённые тесты с использованием telnet, openssl и почтового клиента Evolution подтвердили корректную работу аутентификации, шифрования и доставки сообщений.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пример задания формата аутентификации пользователя в Dovecot в форме логина с указанием домена.</w:t>
      </w:r>
      <w:r>
        <w:br/>
      </w:r>
      <w:r>
        <w:t xml:space="preserve">Пример задания формата имени пользователя для аутентификации в Dovecot с указанием домена может выглядеть следующим образом:</w:t>
      </w:r>
      <w:r>
        <w:br/>
      </w:r>
      <w:r>
        <w:rPr>
          <w:rStyle w:val="VerbatimChar"/>
        </w:rPr>
        <w:t xml:space="preserve">auth_username_format = %Lu@%d</w:t>
      </w:r>
      <w:r>
        <w:br/>
      </w:r>
      <w:r>
        <w:t xml:space="preserve">В данном случае</w:t>
      </w:r>
      <w:r>
        <w:t xml:space="preserve"> </w:t>
      </w:r>
      <w:r>
        <w:rPr>
          <w:rStyle w:val="VerbatimChar"/>
        </w:rPr>
        <w:t xml:space="preserve">%Lu</w:t>
      </w:r>
      <w:r>
        <w:t xml:space="preserve"> </w:t>
      </w:r>
      <w:r>
        <w:t xml:space="preserve">обозначает имя пользователя в верхнем регистре, а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— доменную часть. Такой формат используется, когда аутентификация выполняется с учётом полного почтового адреса пользователя.</w:t>
      </w:r>
    </w:p>
    <w:p>
      <w:pPr>
        <w:pStyle w:val="BodyText"/>
      </w:pPr>
      <w:r>
        <w:rPr>
          <w:bCs/>
          <w:b/>
        </w:rPr>
        <w:t xml:space="preserve">2. Какие функции выполняет почтовый Relay-сервер?</w:t>
      </w:r>
      <w:r>
        <w:br/>
      </w:r>
      <w:r>
        <w:t xml:space="preserve">Почтовый Relay-сервер выполняет функции приёма почтовых сообщений от клиентов или других почтовых серверов и их последующей пересылки к серверу назначения. Он может осуществлять маршрутизацию почты между доменами, временное хранение сообщений при недоступности получателя, а также применять политики фильтрации, проверки и логирования почтового трафика.</w:t>
      </w:r>
    </w:p>
    <w:p>
      <w:pPr>
        <w:pStyle w:val="BodyText"/>
      </w:pPr>
      <w:r>
        <w:rPr>
          <w:bCs/>
          <w:b/>
        </w:rPr>
        <w:t xml:space="preserve">3. Какие угрозы безопасности могут возникнуть в случае настройки почтового сервера как Relay-сервера?</w:t>
      </w:r>
      <w:r>
        <w:br/>
      </w:r>
      <w:r>
        <w:t xml:space="preserve">При некорректной настройке Relay-сервера существует риск превращения его в открытый SMTP relay, который может быть использован злоумышленниками для массовой рассылки спама. Это может привести к перегрузке сервера, попаданию IP-адреса в чёрные списки, утечке информации, а также использованию сервера для распространения вредоносного программного обеспечения и фишинговых сообщений.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Элсаиед Адел</dc:creator>
  <dc:language>ru-RU</dc:language>
  <cp:keywords/>
  <dcterms:created xsi:type="dcterms:W3CDTF">2026-01-04T10:22:21Z</dcterms:created>
  <dcterms:modified xsi:type="dcterms:W3CDTF">2026-01-04T10:22:21Z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