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36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9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4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bookmarkStart w:id="21" w:name="разбиение-сети-172.16.20.024-на-под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Разбиение сети 172.16.20.0/24 на подсети</w:t>
      </w:r>
    </w:p>
    <w:p>
      <w:pPr>
        <w:pStyle w:val="FirstParagraph"/>
      </w:pPr>
      <w:r>
        <w:t xml:space="preserve">Задана IPv4-сеть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. Для данной сети определены основные характеристики.</w:t>
      </w:r>
    </w:p>
    <w:p>
      <w:pPr>
        <w:numPr>
          <w:ilvl w:val="0"/>
          <w:numId w:val="1001"/>
        </w:numPr>
        <w:pStyle w:val="Compact"/>
      </w:pPr>
      <w:r>
        <w:t xml:space="preserve">Префикс сети:</w:t>
      </w:r>
      <w:r>
        <w:t xml:space="preserve"> </w:t>
      </w:r>
      <w:r>
        <w:rPr>
          <w:rStyle w:val="VerbatimChar"/>
        </w:rPr>
        <w:t xml:space="preserve">/24</w:t>
      </w:r>
    </w:p>
    <w:p>
      <w:pPr>
        <w:numPr>
          <w:ilvl w:val="0"/>
          <w:numId w:val="1001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numPr>
          <w:ilvl w:val="0"/>
          <w:numId w:val="1001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172.16.20.0</w:t>
      </w:r>
    </w:p>
    <w:p>
      <w:pPr>
        <w:numPr>
          <w:ilvl w:val="0"/>
          <w:numId w:val="1001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numPr>
          <w:ilvl w:val="0"/>
          <w:numId w:val="1001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172.16.20.1 – 172.16.20.254</w:t>
      </w:r>
    </w:p>
    <w:p>
      <w:pPr>
        <w:numPr>
          <w:ilvl w:val="0"/>
          <w:numId w:val="1001"/>
        </w:numPr>
        <w:pStyle w:val="Compact"/>
      </w:pPr>
      <w:r>
        <w:t xml:space="preserve">Общее число адресов: 256</w:t>
      </w:r>
    </w:p>
    <w:p>
      <w:pPr>
        <w:numPr>
          <w:ilvl w:val="0"/>
          <w:numId w:val="1001"/>
        </w:numPr>
        <w:pStyle w:val="Compact"/>
      </w:pPr>
      <w:r>
        <w:t xml:space="preserve">Число доступных адресов узлов: 254</w:t>
      </w:r>
    </w:p>
    <w:p>
      <w:pPr>
        <w:pStyle w:val="FirstParagraph"/>
      </w:pPr>
      <w:r>
        <w:t xml:space="preserve">Требуется разбить исходную сеть на три подсети с максимально возможным числом адресов узлов</w:t>
      </w:r>
      <w:r>
        <w:t xml:space="preserve"> </w:t>
      </w:r>
      <w:r>
        <w:rPr>
          <w:bCs/>
          <w:b/>
        </w:rPr>
        <w:t xml:space="preserve">126, 62 и 62</w:t>
      </w:r>
      <w:r>
        <w:t xml:space="preserve">. Разбиение выполнено с использованием метода VLSM, начиная с подсети наибольшего размера.</w:t>
      </w:r>
    </w:p>
    <w:p>
      <w:pPr>
        <w:pStyle w:val="BodyText"/>
      </w:pPr>
      <w:r>
        <w:rPr>
          <w:bCs/>
          <w:b/>
        </w:rPr>
        <w:t xml:space="preserve">Подсеть 1 (126 узлов):</w:t>
      </w:r>
      <w:r>
        <w:t xml:space="preserve"> </w:t>
      </w:r>
      <w:r>
        <w:t xml:space="preserve">- Адрес сети: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rPr>
          <w:rStyle w:val="VerbatimChar"/>
        </w:rPr>
        <w:t xml:space="preserve">172.16.20.1 – 172.16.20.126</w:t>
      </w:r>
      <w:r>
        <w:t xml:space="preserve"> </w:t>
      </w:r>
      <w:r>
        <w:t xml:space="preserve">- Широковещательный адрес:</w:t>
      </w:r>
      <w:r>
        <w:t xml:space="preserve"> </w:t>
      </w:r>
      <w:r>
        <w:rPr>
          <w:rStyle w:val="VerbatimChar"/>
        </w:rPr>
        <w:t xml:space="preserve">172.16.20.127</w:t>
      </w:r>
      <w:r>
        <w:t xml:space="preserve"> </w:t>
      </w:r>
      <w:r>
        <w:t xml:space="preserve">- Число доступных узлов: 126</w:t>
      </w:r>
    </w:p>
    <w:p>
      <w:pPr>
        <w:pStyle w:val="BodyText"/>
      </w:pPr>
      <w:r>
        <w:rPr>
          <w:bCs/>
          <w:b/>
        </w:rPr>
        <w:t xml:space="preserve">Подсеть 2 (62 узла):</w:t>
      </w:r>
      <w:r>
        <w:t xml:space="preserve"> </w:t>
      </w:r>
      <w:r>
        <w:t xml:space="preserve">- Адрес сети: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rPr>
          <w:rStyle w:val="VerbatimChar"/>
        </w:rPr>
        <w:t xml:space="preserve">172.16.20.129 – 172.16.20.190</w:t>
      </w:r>
      <w:r>
        <w:t xml:space="preserve"> </w:t>
      </w:r>
      <w:r>
        <w:t xml:space="preserve">- Широковещательный адрес:</w:t>
      </w:r>
      <w:r>
        <w:t xml:space="preserve"> </w:t>
      </w:r>
      <w:r>
        <w:rPr>
          <w:rStyle w:val="VerbatimChar"/>
        </w:rPr>
        <w:t xml:space="preserve">172.16.20.191</w:t>
      </w:r>
      <w:r>
        <w:t xml:space="preserve"> </w:t>
      </w:r>
      <w:r>
        <w:t xml:space="preserve">- Число доступных узлов: 62</w:t>
      </w:r>
    </w:p>
    <w:p>
      <w:pPr>
        <w:pStyle w:val="BodyText"/>
      </w:pPr>
      <w:r>
        <w:rPr>
          <w:bCs/>
          <w:b/>
        </w:rPr>
        <w:t xml:space="preserve">Подсеть 3 (62 узла):</w:t>
      </w:r>
      <w:r>
        <w:t xml:space="preserve"> </w:t>
      </w:r>
      <w:r>
        <w:t xml:space="preserve">- Адрес сети: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rPr>
          <w:rStyle w:val="VerbatimChar"/>
        </w:rPr>
        <w:t xml:space="preserve">172.16.20.193 – 172.16.20.254</w:t>
      </w:r>
      <w:r>
        <w:t xml:space="preserve"> </w:t>
      </w:r>
      <w:r>
        <w:t xml:space="preserve">- Широковещательный адрес: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 </w:t>
      </w:r>
      <w:r>
        <w:t xml:space="preserve">- Число доступных узлов: 62</w:t>
      </w:r>
    </w:p>
    <w:bookmarkEnd w:id="21"/>
    <w:bookmarkStart w:id="22" w:name="X80a1dd9e891b52445728bfc808091856b0d7d24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Выделение подсети на 30 узлов в сети 10.10.1.64/26</w:t>
      </w:r>
    </w:p>
    <w:p>
      <w:pPr>
        <w:pStyle w:val="FirstParagraph"/>
      </w:pP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. Для данной сети определены следующие характеристики:</w:t>
      </w:r>
    </w:p>
    <w:p>
      <w:pPr>
        <w:numPr>
          <w:ilvl w:val="0"/>
          <w:numId w:val="1002"/>
        </w:numPr>
        <w:pStyle w:val="Compact"/>
      </w:pPr>
      <w:r>
        <w:t xml:space="preserve">Префикс сети: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2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2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10.10.1.64</w:t>
      </w:r>
    </w:p>
    <w:p>
      <w:pPr>
        <w:numPr>
          <w:ilvl w:val="0"/>
          <w:numId w:val="1002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10.10.1.127</w:t>
      </w:r>
    </w:p>
    <w:p>
      <w:pPr>
        <w:numPr>
          <w:ilvl w:val="0"/>
          <w:numId w:val="1002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10.10.1.65 – 10.10.1.126</w:t>
      </w:r>
    </w:p>
    <w:p>
      <w:pPr>
        <w:numPr>
          <w:ilvl w:val="0"/>
          <w:numId w:val="1002"/>
        </w:numPr>
        <w:pStyle w:val="Compact"/>
      </w:pPr>
      <w:r>
        <w:t xml:space="preserve">Число доступных адресов узлов: 62</w:t>
      </w:r>
    </w:p>
    <w:p>
      <w:pPr>
        <w:pStyle w:val="FirstParagraph"/>
      </w:pPr>
      <w:r>
        <w:t xml:space="preserve">Для размещения 30 узлов выбран 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, обеспечивающий 32 адреса, из которых 30 доступны для хостов.</w:t>
      </w:r>
    </w:p>
    <w:p>
      <w:pPr>
        <w:pStyle w:val="BodyText"/>
      </w:pPr>
      <w:r>
        <w:rPr>
          <w:bCs/>
          <w:b/>
        </w:rPr>
        <w:t xml:space="preserve">Выделенная подсеть:</w:t>
      </w:r>
      <w:r>
        <w:t xml:space="preserve"> </w:t>
      </w:r>
      <w:r>
        <w:t xml:space="preserve">- Адрес сети: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rPr>
          <w:rStyle w:val="VerbatimChar"/>
        </w:rPr>
        <w:t xml:space="preserve">10.10.1.65 – 10.10.1.94</w:t>
      </w:r>
      <w:r>
        <w:t xml:space="preserve"> </w:t>
      </w:r>
      <w:r>
        <w:t xml:space="preserve">- Широковещательный адрес: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 </w:t>
      </w:r>
      <w:r>
        <w:t xml:space="preserve">- Число доступных узлов: 30</w:t>
      </w:r>
    </w:p>
    <w:bookmarkEnd w:id="22"/>
    <w:bookmarkStart w:id="23" w:name="X429ceaf00bf06a816d69b3feb9ce882169a7011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Выделение подсети на 14 узлов в сети 10.10.1.0/26</w:t>
      </w:r>
    </w:p>
    <w:p>
      <w:pPr>
        <w:pStyle w:val="FirstParagraph"/>
      </w:pPr>
      <w:r>
        <w:t xml:space="preserve">Задана сеть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. Основные характеристики сети:</w:t>
      </w:r>
    </w:p>
    <w:p>
      <w:pPr>
        <w:numPr>
          <w:ilvl w:val="0"/>
          <w:numId w:val="1003"/>
        </w:numPr>
        <w:pStyle w:val="Compact"/>
      </w:pPr>
      <w:r>
        <w:t xml:space="preserve">Префикс сети: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3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3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10.10.1.0</w:t>
      </w:r>
    </w:p>
    <w:p>
      <w:pPr>
        <w:numPr>
          <w:ilvl w:val="0"/>
          <w:numId w:val="1003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10.10.1.63</w:t>
      </w:r>
    </w:p>
    <w:p>
      <w:pPr>
        <w:numPr>
          <w:ilvl w:val="0"/>
          <w:numId w:val="1003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10.10.1.1 – 10.10.1.62</w:t>
      </w:r>
    </w:p>
    <w:p>
      <w:pPr>
        <w:numPr>
          <w:ilvl w:val="0"/>
          <w:numId w:val="1003"/>
        </w:numPr>
        <w:pStyle w:val="Compact"/>
      </w:pPr>
      <w:r>
        <w:t xml:space="preserve">Число доступных адресов узлов: 62</w:t>
      </w:r>
    </w:p>
    <w:p>
      <w:pPr>
        <w:pStyle w:val="FirstParagraph"/>
      </w:pPr>
      <w:r>
        <w:t xml:space="preserve">Для размещения 14 узлов выбран префикс</w:t>
      </w:r>
      <w:r>
        <w:t xml:space="preserve"> </w:t>
      </w:r>
      <w:r>
        <w:rPr>
          <w:rStyle w:val="VerbatimChar"/>
        </w:rPr>
        <w:t xml:space="preserve">/28</w:t>
      </w:r>
      <w:r>
        <w:t xml:space="preserve">, обеспечивающий 16 адресов, из которых 14 доступны для использования.</w:t>
      </w:r>
    </w:p>
    <w:p>
      <w:pPr>
        <w:pStyle w:val="BodyText"/>
      </w:pPr>
      <w:r>
        <w:rPr>
          <w:bCs/>
          <w:b/>
        </w:rPr>
        <w:t xml:space="preserve">Выделенная подсеть:</w:t>
      </w:r>
      <w:r>
        <w:t xml:space="preserve"> </w:t>
      </w:r>
      <w:r>
        <w:t xml:space="preserve">- Адрес сети: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rPr>
          <w:rStyle w:val="VerbatimChar"/>
        </w:rPr>
        <w:t xml:space="preserve">10.10.1.1 – 10.10.1.14</w:t>
      </w:r>
      <w:r>
        <w:t xml:space="preserve"> </w:t>
      </w:r>
      <w:r>
        <w:t xml:space="preserve">- Широковещательный адрес: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 </w:t>
      </w:r>
      <w:r>
        <w:t xml:space="preserve">- Число доступных узлов: 14</w:t>
      </w:r>
    </w:p>
    <w:bookmarkEnd w:id="23"/>
    <w:bookmarkEnd w:id="24"/>
    <w:bookmarkStart w:id="31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bookmarkStart w:id="27" w:name="разбиение-сети-2001db8c0de4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Разбиение сети 2001:db8:c0de::/48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. Данный адрес относится к глобальной (global unicast) IPv6-адресации, при этом префикс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зарезервирован для документации и учебных примеров, что делает его пригодным для лабораторных работ.</w:t>
      </w:r>
    </w:p>
    <w:p>
      <w:pPr>
        <w:pStyle w:val="BodyText"/>
      </w:pPr>
      <w:r>
        <w:rPr>
          <w:bCs/>
          <w:b/>
        </w:rPr>
        <w:t xml:space="preserve">Характеристики сети:</w:t>
      </w:r>
      <w:r>
        <w:t xml:space="preserve"> </w:t>
      </w:r>
      <w:r>
        <w:t xml:space="preserve">- Префикс сети: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- Маска (в двоичном виде): 48 старших бит фиксированы, оставшиеся 80 бит — изменяемая часть</w:t>
      </w:r>
      <w:r>
        <w:t xml:space="preserve"> </w:t>
      </w:r>
      <w:r>
        <w:t xml:space="preserve">- Адрес сети (network prefix):</w:t>
      </w:r>
      <w:r>
        <w:t xml:space="preserve"> </w:t>
      </w:r>
      <w:r>
        <w:rPr>
          <w:rStyle w:val="VerbatimChar"/>
        </w:rPr>
        <w:t xml:space="preserve">2001:db8:c0de::</w:t>
      </w:r>
      <w:r>
        <w:t xml:space="preserve"> </w:t>
      </w:r>
      <w:r>
        <w:t xml:space="preserve">- Длина адреса IPv6: 128 бит</w:t>
      </w:r>
    </w:p>
    <w:p>
      <w:pPr>
        <w:pStyle w:val="BodyText"/>
      </w:pPr>
      <w:r>
        <w:rPr>
          <w:bCs/>
          <w:b/>
        </w:rPr>
        <w:t xml:space="preserve">Диапазон адресов в пределах префикса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/48</w:t>
      </w:r>
      <w:r>
        <w:rPr>
          <w:bCs/>
          <w:b/>
        </w:rPr>
        <w:t xml:space="preserve"> </w:t>
      </w:r>
      <w:r>
        <w:rPr>
          <w:bCs/>
          <w:b/>
        </w:rPr>
        <w:t xml:space="preserve">(краевые значения):</w:t>
      </w:r>
      <w:r>
        <w:t xml:space="preserve"> </w:t>
      </w:r>
      <w:r>
        <w:t xml:space="preserve">- Минимальный адрес в сети: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 </w:t>
      </w:r>
      <w:r>
        <w:t xml:space="preserve">- Максимальный адрес в сети:</w:t>
      </w:r>
      <w:r>
        <w:t xml:space="preserve"> </w:t>
      </w:r>
      <w:r>
        <w:rPr>
          <w:rStyle w:val="VerbatimChar"/>
        </w:rPr>
        <w:t xml:space="preserve">2001:db8:c0de:ffff:ffff:ffff:ffff:ffff</w:t>
      </w:r>
    </w:p>
    <w:p>
      <w:pPr>
        <w:pStyle w:val="BodyText"/>
      </w:pPr>
      <w:r>
        <w:t xml:space="preserve">В IPv6 отсутствует широковещательная (broadcast) адресация; для рассылки используется мультикаст. Также в IPv6 не выделяются отдельные</w:t>
      </w:r>
      <w:r>
        <w:t xml:space="preserve"> </w:t>
      </w:r>
      <w:r>
        <w:t xml:space="preserve">“</w:t>
      </w:r>
      <w:r>
        <w:t xml:space="preserve">адрес сети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broadcast</w:t>
      </w:r>
      <w:r>
        <w:t xml:space="preserve">”</w:t>
      </w:r>
      <w:r>
        <w:t xml:space="preserve"> </w:t>
      </w:r>
      <w:r>
        <w:t xml:space="preserve">так, как это принято в IPv4: весь диапазон префикса потенциально адресуем, однако в практической адресации используются соглашения (например,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для маршрутизатора, SLAAC и т.д.).</w:t>
      </w:r>
    </w:p>
    <w:bookmarkStart w:id="25" w:name="Xd5ffd9336c7cf16ed2735fb6ee060dbf7e83c51"/>
    <w:p>
      <w:pPr>
        <w:pStyle w:val="Heading4"/>
      </w:pPr>
      <w:r>
        <w:rPr>
          <w:rStyle w:val="SectionNumber"/>
        </w:rPr>
        <w:t xml:space="preserve">2.2.1.1</w:t>
      </w:r>
      <w:r>
        <w:tab/>
      </w: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Наиболее типовой подход: из префикса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формируют</w:t>
      </w:r>
      <w:r>
        <w:t xml:space="preserve"> </w:t>
      </w:r>
      <w:r>
        <w:t xml:space="preserve">“</w:t>
      </w:r>
      <w:r>
        <w:t xml:space="preserve">обычные</w:t>
      </w:r>
      <w:r>
        <w:t xml:space="preserve">”</w:t>
      </w:r>
      <w:r>
        <w:t xml:space="preserve"> </w:t>
      </w:r>
      <w:r>
        <w:t xml:space="preserve">пользовательские подсети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выделяя 16 бит под</w:t>
      </w:r>
      <w:r>
        <w:t xml:space="preserve"> </w:t>
      </w:r>
      <w:r>
        <w:rPr>
          <w:bCs/>
          <w:b/>
        </w:rPr>
        <w:t xml:space="preserve">идентификатор подсети</w:t>
      </w:r>
      <w:r>
        <w:t xml:space="preserve"> </w:t>
      </w:r>
      <w:r>
        <w:t xml:space="preserve">(Subnet ID).</w:t>
      </w:r>
      <w:r>
        <w:br/>
      </w:r>
      <w:r>
        <w:t xml:space="preserve">То есть структура выглядит так: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/48</w:t>
      </w:r>
      <w:r>
        <w:t xml:space="preserve"> </w:t>
      </w:r>
      <w:r>
        <w:t xml:space="preserve">— глобальный префикс организации</w:t>
      </w:r>
    </w:p>
    <w:p>
      <w:pPr>
        <w:numPr>
          <w:ilvl w:val="0"/>
          <w:numId w:val="1004"/>
        </w:numPr>
        <w:pStyle w:val="Compact"/>
      </w:pPr>
      <w:r>
        <w:t xml:space="preserve">следующие 16 бит — Subnet ID</w:t>
      </w:r>
    </w:p>
    <w:p>
      <w:pPr>
        <w:numPr>
          <w:ilvl w:val="0"/>
          <w:numId w:val="1004"/>
        </w:numPr>
        <w:pStyle w:val="Compact"/>
      </w:pPr>
      <w:r>
        <w:t xml:space="preserve">последние 64 бита — Interface ID</w:t>
      </w:r>
    </w:p>
    <w:p>
      <w:pPr>
        <w:pStyle w:val="FirstParagraph"/>
      </w:pPr>
      <w:r>
        <w:t xml:space="preserve">Для получения 2 подсетей достаточно изменить</w:t>
      </w:r>
      <w:r>
        <w:t xml:space="preserve"> </w:t>
      </w:r>
      <w:r>
        <w:rPr>
          <w:bCs/>
          <w:b/>
        </w:rPr>
        <w:t xml:space="preserve">старший бит</w:t>
      </w:r>
      <w:r>
        <w:t xml:space="preserve"> </w:t>
      </w:r>
      <w:r>
        <w:t xml:space="preserve">в поле Subnet ID. Это эквивалентно переходу от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/49</w:t>
      </w:r>
      <w:r>
        <w:t xml:space="preserve">, где 1 дополнительный бит определяет одну из двух половин пространства.</w:t>
      </w:r>
    </w:p>
    <w:p>
      <w:pPr>
        <w:pStyle w:val="BodyText"/>
      </w:pPr>
      <w:r>
        <w:rPr>
          <w:bCs/>
          <w:b/>
        </w:rPr>
        <w:t xml:space="preserve">Вариант разбиения на две подсети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/49</w:t>
      </w:r>
      <w:r>
        <w:rPr>
          <w:bCs/>
          <w:b/>
        </w:rPr>
        <w:t xml:space="preserve">:</w:t>
      </w:r>
      <w:r>
        <w:t xml:space="preserve"> </w:t>
      </w:r>
      <w:r>
        <w:t xml:space="preserve">- Подсеть 1:</w:t>
      </w:r>
      <w:r>
        <w:t xml:space="preserve"> </w:t>
      </w:r>
      <w:r>
        <w:rPr>
          <w:rStyle w:val="VerbatimChar"/>
        </w:rPr>
        <w:t xml:space="preserve">2001:db8:c0de:0000::/49</w:t>
      </w:r>
      <w:r>
        <w:t xml:space="preserve"> </w:t>
      </w:r>
      <w:r>
        <w:t xml:space="preserve">- Подсеть 2:</w:t>
      </w:r>
      <w:r>
        <w:t xml:space="preserve"> </w:t>
      </w:r>
      <w:r>
        <w:rPr>
          <w:rStyle w:val="VerbatimChar"/>
        </w:rPr>
        <w:t xml:space="preserve">2001:db8:c0de:8000::/49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- В</w:t>
      </w:r>
      <w:r>
        <w:t xml:space="preserve"> </w:t>
      </w:r>
      <w:r>
        <w:rPr>
          <w:rStyle w:val="VerbatimChar"/>
        </w:rPr>
        <w:t xml:space="preserve">/49</w:t>
      </w:r>
      <w:r>
        <w:t xml:space="preserve"> </w:t>
      </w:r>
      <w:r>
        <w:t xml:space="preserve">добавляется 1 бит к префиксу</w:t>
      </w:r>
      <w:r>
        <w:t xml:space="preserve"> </w:t>
      </w:r>
      <w:r>
        <w:rPr>
          <w:rStyle w:val="VerbatimChar"/>
        </w:rPr>
        <w:t xml:space="preserve">/48</w:t>
      </w:r>
      <w:r>
        <w:t xml:space="preserve">.</w:t>
      </w:r>
      <w:r>
        <w:t xml:space="preserve"> </w:t>
      </w:r>
      <w:r>
        <w:t xml:space="preserve">- Значение этого бита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даёт первую половину адресного пространства,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вторую половину.</w:t>
      </w:r>
      <w:r>
        <w:t xml:space="preserve"> </w:t>
      </w:r>
      <w:r>
        <w:t xml:space="preserve">- Такой способ удобен для грубого деления адресного пространства организации на два крупных блока (например, для двух филиалов или двух крупных доменов маршрутизации).</w:t>
      </w:r>
    </w:p>
    <w:p>
      <w:pPr>
        <w:pStyle w:val="BodyText"/>
      </w:pPr>
      <w:r>
        <w:t xml:space="preserve">При необходимости можно делить именно на</w:t>
      </w:r>
      <w:r>
        <w:t xml:space="preserve"> </w:t>
      </w:r>
      <w:r>
        <w:t xml:space="preserve">“</w:t>
      </w:r>
      <w:r>
        <w:t xml:space="preserve">классические</w:t>
      </w:r>
      <w:r>
        <w:t xml:space="preserve">”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подсети, выбрав, например, Subnet ID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0001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2001:db8:c0de:0000::/64</w:t>
      </w:r>
    </w:p>
    <w:p>
      <w:pPr>
        <w:numPr>
          <w:ilvl w:val="0"/>
          <w:numId w:val="1005"/>
        </w:numPr>
        <w:pStyle w:val="Compact"/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2001:db8:c0de:0001::/64</w:t>
      </w:r>
    </w:p>
    <w:p>
      <w:pPr>
        <w:pStyle w:val="FirstParagraph"/>
      </w:pPr>
      <w:r>
        <w:t xml:space="preserve">Этот вариант ближе к реальной практике адресации LAN-сегментов.</w:t>
      </w:r>
    </w:p>
    <w:bookmarkEnd w:id="25"/>
    <w:bookmarkStart w:id="26" w:name="X8e484e54274b8a91f96349971e57e0eb9039448"/>
    <w:p>
      <w:pPr>
        <w:pStyle w:val="Heading4"/>
      </w:pPr>
      <w:r>
        <w:rPr>
          <w:rStyle w:val="SectionNumber"/>
        </w:rPr>
        <w:t xml:space="preserve">2.2.1.2</w:t>
      </w:r>
      <w:r>
        <w:tab/>
      </w: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Альтернативный подход — разделить сеть, изменяя границу префикса в области</w:t>
      </w:r>
      <w:r>
        <w:t xml:space="preserve"> </w:t>
      </w:r>
      <w:r>
        <w:rPr>
          <w:bCs/>
          <w:b/>
        </w:rPr>
        <w:t xml:space="preserve">Interface ID</w:t>
      </w:r>
      <w:r>
        <w:t xml:space="preserve"> </w:t>
      </w:r>
      <w:r>
        <w:t xml:space="preserve">(то есть</w:t>
      </w:r>
      <w:r>
        <w:t xml:space="preserve"> </w:t>
      </w:r>
      <w:r>
        <w:t xml:space="preserve">“</w:t>
      </w:r>
      <w:r>
        <w:t xml:space="preserve">урезать</w:t>
      </w:r>
      <w:r>
        <w:t xml:space="preserve">”</w:t>
      </w:r>
      <w:r>
        <w:t xml:space="preserve"> </w:t>
      </w:r>
      <w:r>
        <w:t xml:space="preserve">часть 64-битного идентификатора интерфейса и использовать её как дополнительный признак подсети).</w:t>
      </w:r>
    </w:p>
    <w:p>
      <w:pPr>
        <w:pStyle w:val="BodyText"/>
      </w:pPr>
      <w:r>
        <w:t xml:space="preserve">Если исходно предполагается, что внутри подсети используется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то разбиение на две части может быть выполнено, например, переходом к</w:t>
      </w:r>
      <w:r>
        <w:t xml:space="preserve"> </w:t>
      </w:r>
      <w:r>
        <w:rPr>
          <w:rStyle w:val="VerbatimChar"/>
        </w:rPr>
        <w:t xml:space="preserve">/65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первые 64 бита по-прежнему включают глобальный префикс и Subnet ID;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65-й бит</w:t>
      </w:r>
      <w:r>
        <w:t xml:space="preserve"> </w:t>
      </w:r>
      <w:r>
        <w:t xml:space="preserve">(первый бит в Interface ID) используется как признак</w:t>
      </w:r>
      <w:r>
        <w:t xml:space="preserve"> </w:t>
      </w:r>
      <w:r>
        <w:t xml:space="preserve">“</w:t>
      </w:r>
      <w:r>
        <w:t xml:space="preserve">подсети 0/1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Для этого сначала выбирается конкретная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подсеть внутри</w:t>
      </w:r>
      <w:r>
        <w:t xml:space="preserve"> </w:t>
      </w:r>
      <w:r>
        <w:rPr>
          <w:rStyle w:val="VerbatimChar"/>
        </w:rPr>
        <w:t xml:space="preserve">/48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2001:db8:c0de:0000::/64</w:t>
      </w:r>
      <w:r>
        <w:t xml:space="preserve">, после чего она делится на две</w:t>
      </w:r>
      <w:r>
        <w:t xml:space="preserve"> </w:t>
      </w:r>
      <w:r>
        <w:t xml:space="preserve">“</w:t>
      </w:r>
      <w:r>
        <w:t xml:space="preserve">половины</w:t>
      </w:r>
      <w:r>
        <w:t xml:space="preserve">”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2001:db8:c0de:0000::/65</w:t>
      </w:r>
    </w:p>
    <w:p>
      <w:pPr>
        <w:numPr>
          <w:ilvl w:val="0"/>
          <w:numId w:val="1007"/>
        </w:numPr>
        <w:pStyle w:val="Compact"/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2001:db8:c0de:0000:8000::/65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означает, что 65 бит фиксированы, а изменяемых остаётся 63 бита.</w:t>
      </w:r>
      <w:r>
        <w:t xml:space="preserve"> </w:t>
      </w:r>
      <w:r>
        <w:t xml:space="preserve">- Первая подсеть соответствует значениям 65-го бита</w:t>
      </w:r>
      <w:r>
        <w:t xml:space="preserve"> </w:t>
      </w:r>
      <w:r>
        <w:rPr>
          <w:rStyle w:val="VerbatimChar"/>
        </w:rPr>
        <w:t xml:space="preserve">0</w:t>
      </w:r>
      <w:r>
        <w:t xml:space="preserve">, вторая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  <w:r>
        <w:t xml:space="preserve"> </w:t>
      </w:r>
      <w:r>
        <w:t xml:space="preserve">- Подход теоретически возможен, но на практике используется редко, так как стандартные механизмы автоконфигурации (SLAAC) ориентированы на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а изменение длины префикса может приводить к нестандартному поведению или ограничениям оборудования.</w:t>
      </w:r>
    </w:p>
    <w:bookmarkEnd w:id="26"/>
    <w:bookmarkEnd w:id="27"/>
    <w:bookmarkStart w:id="30" w:name="разбиение-сети-2a026b864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Разбиение сети 2a02:6b8::/64</w:t>
      </w:r>
    </w:p>
    <w:p>
      <w:pPr>
        <w:pStyle w:val="FirstParagraph"/>
      </w:pPr>
      <w:r>
        <w:t xml:space="preserve">Задана IPv6-сеть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 Данный адрес относится к глобальной IPv6-адресации.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является типовым размером подсети для локальных сегментов IPv6 и рекомендован для SLAAC.</w:t>
      </w:r>
    </w:p>
    <w:p>
      <w:pPr>
        <w:pStyle w:val="BodyText"/>
      </w:pPr>
      <w:r>
        <w:rPr>
          <w:bCs/>
          <w:b/>
        </w:rPr>
        <w:t xml:space="preserve">Характеристики сети:</w:t>
      </w:r>
      <w:r>
        <w:t xml:space="preserve"> </w:t>
      </w:r>
      <w:r>
        <w:t xml:space="preserve">- Префикс сети: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- Маска: 64 старших бита фиксированы, 64 бита — идентификатор интерфейса</w:t>
      </w:r>
      <w:r>
        <w:t xml:space="preserve"> </w:t>
      </w:r>
      <w:r>
        <w:t xml:space="preserve">- Адрес сети (network prefix):</w:t>
      </w:r>
      <w:r>
        <w:t xml:space="preserve"> </w:t>
      </w:r>
      <w:r>
        <w:rPr>
          <w:rStyle w:val="VerbatimChar"/>
        </w:rPr>
        <w:t xml:space="preserve">2a02:6b8:0000:0000::</w:t>
      </w:r>
    </w:p>
    <w:p>
      <w:pPr>
        <w:pStyle w:val="BodyText"/>
      </w:pPr>
      <w:r>
        <w:rPr>
          <w:bCs/>
          <w:b/>
        </w:rPr>
        <w:t xml:space="preserve">Диапазон адресов в пределах префикса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/64</w:t>
      </w:r>
      <w:r>
        <w:rPr>
          <w:bCs/>
          <w:b/>
        </w:rPr>
        <w:t xml:space="preserve"> </w:t>
      </w:r>
      <w:r>
        <w:rPr>
          <w:bCs/>
          <w:b/>
        </w:rPr>
        <w:t xml:space="preserve">(краевые значения):</w:t>
      </w:r>
      <w:r>
        <w:t xml:space="preserve"> </w:t>
      </w:r>
      <w:r>
        <w:t xml:space="preserve">- Минимальный адрес в сети:</w:t>
      </w:r>
      <w:r>
        <w:t xml:space="preserve"> </w:t>
      </w:r>
      <w:r>
        <w:rPr>
          <w:rStyle w:val="VerbatimChar"/>
        </w:rPr>
        <w:t xml:space="preserve">2a02:6b8:0000:0000:0000:0000:0000:0000</w:t>
      </w:r>
      <w:r>
        <w:t xml:space="preserve"> </w:t>
      </w:r>
      <w:r>
        <w:t xml:space="preserve">- Максимальный адрес в сети:</w:t>
      </w:r>
      <w:r>
        <w:t xml:space="preserve"> </w:t>
      </w:r>
      <w:r>
        <w:rPr>
          <w:rStyle w:val="VerbatimChar"/>
        </w:rPr>
        <w:t xml:space="preserve">2a02:6b8:0000:0000:ffff:ffff:ffff:ffff</w:t>
      </w:r>
    </w:p>
    <w:bookmarkStart w:id="28" w:name="Xe3ae7469d5fa2dc0781a103bff46d2e447e3168"/>
    <w:p>
      <w:pPr>
        <w:pStyle w:val="Heading4"/>
      </w:pPr>
      <w:r>
        <w:rPr>
          <w:rStyle w:val="SectionNumber"/>
        </w:rPr>
        <w:t xml:space="preserve">2.2.2.1</w:t>
      </w:r>
      <w:r>
        <w:tab/>
      </w: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Так как сеть уже имеет длину</w:t>
      </w:r>
      <w:r>
        <w:t xml:space="preserve"> </w:t>
      </w:r>
      <w:r>
        <w:rPr>
          <w:rStyle w:val="VerbatimChar"/>
        </w:rPr>
        <w:t xml:space="preserve">/64</w:t>
      </w:r>
      <w:r>
        <w:t xml:space="preserve">,</w:t>
      </w:r>
      <w:r>
        <w:t xml:space="preserve"> </w:t>
      </w:r>
      <w:r>
        <w:t xml:space="preserve">“</w:t>
      </w:r>
      <w:r>
        <w:t xml:space="preserve">классический</w:t>
      </w:r>
      <w:r>
        <w:t xml:space="preserve">”</w:t>
      </w:r>
      <w:r>
        <w:t xml:space="preserve"> </w:t>
      </w:r>
      <w:r>
        <w:t xml:space="preserve">Subnet ID (как в случае</w:t>
      </w:r>
      <w:r>
        <w:t xml:space="preserve"> </w:t>
      </w:r>
      <w:r>
        <w:rPr>
          <w:rStyle w:val="VerbatimChar"/>
        </w:rPr>
        <w:t xml:space="preserve">/48 → /64</w:t>
      </w:r>
      <w:r>
        <w:t xml:space="preserve">) отсутствует: весь Subnet ID уже зафиксирован в первых 64 битах.</w:t>
      </w:r>
      <w:r>
        <w:br/>
      </w:r>
      <w:r>
        <w:t xml:space="preserve">Тем не менее, разделить адресное пространство на два блока можно, увеличив длину префикса 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(то есть фактически использовать один бит из Interface ID как</w:t>
      </w:r>
      <w:r>
        <w:t xml:space="preserve"> </w:t>
      </w:r>
      <w:r>
        <w:t xml:space="preserve">“</w:t>
      </w:r>
      <w:r>
        <w:t xml:space="preserve">идентификатор подсети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В результате получаются две подсети:</w:t>
      </w:r>
    </w:p>
    <w:p>
      <w:pPr>
        <w:numPr>
          <w:ilvl w:val="0"/>
          <w:numId w:val="1008"/>
        </w:numPr>
        <w:pStyle w:val="Compact"/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2a02:6b8::/65</w:t>
      </w:r>
    </w:p>
    <w:p>
      <w:pPr>
        <w:numPr>
          <w:ilvl w:val="0"/>
          <w:numId w:val="1008"/>
        </w:numPr>
        <w:pStyle w:val="Compact"/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2a02:6b8:0:0:8000::/65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- В пределах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добавляется один бит, разделяющий пространство Interface ID на две половины.</w:t>
      </w:r>
      <w:r>
        <w:t xml:space="preserve"> </w:t>
      </w:r>
      <w:r>
        <w:t xml:space="preserve">- Адреса в первой подсети имеют старший бит Interface ID равный</w:t>
      </w:r>
      <w:r>
        <w:t xml:space="preserve"> </w:t>
      </w:r>
      <w:r>
        <w:rPr>
          <w:rStyle w:val="VerbatimChar"/>
        </w:rPr>
        <w:t xml:space="preserve">0</w:t>
      </w:r>
      <w:r>
        <w:t xml:space="preserve">, во второй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28"/>
    <w:bookmarkStart w:id="29" w:name="X0ec2939bd4b47d2ec6fb515662dc1bf79767b41"/>
    <w:p>
      <w:pPr>
        <w:pStyle w:val="Heading4"/>
      </w:pPr>
      <w:r>
        <w:rPr>
          <w:rStyle w:val="SectionNumber"/>
        </w:rPr>
        <w:t xml:space="preserve">2.2.2.2</w:t>
      </w:r>
      <w:r>
        <w:tab/>
      </w: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Разбиение</w:t>
      </w:r>
      <w:r>
        <w:t xml:space="preserve"> </w:t>
      </w:r>
      <w:r>
        <w:t xml:space="preserve">“</w:t>
      </w:r>
      <w:r>
        <w:t xml:space="preserve">по идентификатору интерфейса</w:t>
      </w:r>
      <w:r>
        <w:t xml:space="preserve">”</w:t>
      </w:r>
      <w:r>
        <w:t xml:space="preserve"> </w:t>
      </w:r>
      <w:r>
        <w:t xml:space="preserve">по сути совпадает с предыдущим случаем, так как при исходном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единственное место, откуда можно взять бит для деления, — это поле Interface ID. Поэтому второй способ можно представить как явное выделение диапазонов Interface ID.</w:t>
      </w:r>
    </w:p>
    <w:p>
      <w:pPr>
        <w:pStyle w:val="BodyText"/>
      </w:pPr>
      <w:r>
        <w:t xml:space="preserve">Пусть:</w:t>
      </w:r>
      <w:r>
        <w:t xml:space="preserve"> </w:t>
      </w:r>
      <w:r>
        <w:t xml:space="preserve">- Подсеть 1 соответствует диапазону Interface ID:</w:t>
      </w:r>
      <w:r>
        <w:t xml:space="preserve"> </w:t>
      </w:r>
      <w:r>
        <w:rPr>
          <w:rStyle w:val="VerbatimChar"/>
        </w:rPr>
        <w:t xml:space="preserve">0000:0000:0000:0000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7fff:ffff:ffff:ffff</w:t>
      </w:r>
      <w:r>
        <w:t xml:space="preserve"> </w:t>
      </w:r>
      <w:r>
        <w:t xml:space="preserve">- Подсеть 2 соответствует диапазону Interface ID:</w:t>
      </w:r>
      <w:r>
        <w:t xml:space="preserve"> </w:t>
      </w:r>
      <w:r>
        <w:rPr>
          <w:rStyle w:val="VerbatimChar"/>
        </w:rPr>
        <w:t xml:space="preserve">8000:0000:0000:0000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ffff:ffff:ffff:ffff</w:t>
      </w:r>
    </w:p>
    <w:p>
      <w:pPr>
        <w:pStyle w:val="BodyText"/>
      </w:pPr>
      <w:r>
        <w:t xml:space="preserve">Тогда разбиение будет:</w:t>
      </w:r>
    </w:p>
    <w:p>
      <w:pPr>
        <w:numPr>
          <w:ilvl w:val="0"/>
          <w:numId w:val="1009"/>
        </w:numPr>
        <w:pStyle w:val="Compact"/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2a02:6b8:0:0:0000::/65</w:t>
      </w:r>
    </w:p>
    <w:p>
      <w:pPr>
        <w:numPr>
          <w:ilvl w:val="0"/>
          <w:numId w:val="1009"/>
        </w:numPr>
        <w:pStyle w:val="Compact"/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2a02:6b8:0:0:8000::/65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- Деление выполнено по старшему биту 64-битного идентификатора интерфейса.</w:t>
      </w:r>
      <w:r>
        <w:t xml:space="preserve"> </w:t>
      </w:r>
      <w:r>
        <w:t xml:space="preserve">- Способ является формально корректным, но практически нежелательным для типовых LAN-сегментов, поскольку нарушает стандартное ожидание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для SLAAC и может привести к проблемам совместимости.</w:t>
      </w:r>
    </w:p>
    <w:bookmarkEnd w:id="29"/>
    <w:bookmarkEnd w:id="30"/>
    <w:bookmarkEnd w:id="31"/>
    <w:bookmarkStart w:id="100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numPr>
          <w:ilvl w:val="0"/>
          <w:numId w:val="1010"/>
        </w:numPr>
      </w:pPr>
      <w:r>
        <w:t xml:space="preserve">Выполнен запуск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, после чего произведён запуск программного комплекса</w:t>
      </w:r>
      <w:r>
        <w:t xml:space="preserve"> </w:t>
      </w:r>
      <w:r>
        <w:rPr>
          <w:bCs/>
          <w:b/>
        </w:rPr>
        <w:t xml:space="preserve">GNS3</w:t>
      </w:r>
      <w:r>
        <w:t xml:space="preserve">. В рабочей среде создан новый проект для выполнения лабораторной работы, посвящённой настройке адресации IPv4 и IPv6 в сети с двойным стеком.</w:t>
      </w:r>
    </w:p>
    <w:p>
      <w:pPr>
        <w:numPr>
          <w:ilvl w:val="0"/>
          <w:numId w:val="1010"/>
        </w:numPr>
      </w:pPr>
      <w:r>
        <w:t xml:space="preserve">В рабочем пространстве GNS3 размещены сетевые устройства и выполнено их соединение в соответствии с заданной топологией. Для сегмента сети с IPv4 использован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, для сегмента IPv6 —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. Топология включает рабочие станции, коммутаторы, маршрутизаторы и сервер с поддержкой двойного стека адресации.</w:t>
      </w:r>
    </w:p>
    <w:p>
      <w:pPr>
        <w:numPr>
          <w:ilvl w:val="0"/>
          <w:numId w:val="1000"/>
        </w:numPr>
        <w:pStyle w:val="CaptionedFigure"/>
      </w:pPr>
      <w:bookmarkStart w:id="35" w:name="fig:601"/>
      <w:r>
        <w:drawing>
          <wp:inline>
            <wp:extent cx="5334000" cy="4140517"/>
            <wp:effectExtent b="0" l="0" r="0" t="0"/>
            <wp:docPr descr="Рис. 1: Топология сети в среде GNS3" title="" id="33" name="Picture"/>
            <a:graphic>
              <a:graphicData uri="http://schemas.openxmlformats.org/drawingml/2006/picture">
                <pic:pic>
                  <pic:nvPicPr>
                    <pic:cNvPr descr="Screenshot_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среде GNS3</w:t>
      </w:r>
    </w:p>
    <w:p>
      <w:pPr>
        <w:numPr>
          <w:ilvl w:val="0"/>
          <w:numId w:val="1010"/>
        </w:numPr>
      </w:pPr>
      <w:r>
        <w:t xml:space="preserve">Произведено изменение отображаемых имён сетевых устройств. Коммутаторы переименованы по шаблону</w:t>
      </w:r>
      <w:r>
        <w:t xml:space="preserve"> </w:t>
      </w:r>
      <w:r>
        <w:rPr>
          <w:rStyle w:val="VerbatimChar"/>
        </w:rPr>
        <w:t xml:space="preserve">msk-elsaiedadel-sw-0x</w:t>
      </w:r>
      <w:r>
        <w:t xml:space="preserve">, маршрутизаторы —</w:t>
      </w:r>
      <w:r>
        <w:t xml:space="preserve"> </w:t>
      </w:r>
      <w:r>
        <w:rPr>
          <w:rStyle w:val="VerbatimChar"/>
        </w:rPr>
        <w:t xml:space="preserve">msk-elsaiedadel-gw-0x</w:t>
      </w:r>
      <w:r>
        <w:t xml:space="preserve">, рабочие станции VPCS —</w:t>
      </w:r>
      <w:r>
        <w:t xml:space="preserve"> </w:t>
      </w:r>
      <w:r>
        <w:rPr>
          <w:rStyle w:val="VerbatimChar"/>
        </w:rPr>
        <w:t xml:space="preserve">PCx-elsaiedadel</w:t>
      </w:r>
      <w:r>
        <w:t xml:space="preserve">, что обеспечивает однозначную идентификацию узлов в рамках лабораторной работы.</w:t>
      </w:r>
    </w:p>
    <w:p>
      <w:pPr>
        <w:numPr>
          <w:ilvl w:val="0"/>
          <w:numId w:val="1010"/>
        </w:numPr>
      </w:pPr>
      <w:r>
        <w:t xml:space="preserve">В соответствии с таблицей адресации выполнена настройка IPv4-параметров на рабочей станции</w:t>
      </w:r>
      <w:r>
        <w:t xml:space="preserve"> </w:t>
      </w:r>
      <w:r>
        <w:rPr>
          <w:bCs/>
          <w:b/>
        </w:rPr>
        <w:t xml:space="preserve">PC1</w:t>
      </w:r>
      <w:r>
        <w:t xml:space="preserve">. Узлу назначен IP-адрес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с указанием шлюза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 После настройки конфигурация сохранена, а параметры проверены с использованием команды просмотра сетевых настроек.</w:t>
      </w:r>
    </w:p>
    <w:p>
      <w:pPr>
        <w:numPr>
          <w:ilvl w:val="0"/>
          <w:numId w:val="1000"/>
        </w:numPr>
        <w:pStyle w:val="CaptionedFigure"/>
      </w:pPr>
      <w:bookmarkStart w:id="39" w:name="fig:602"/>
      <w:r>
        <w:drawing>
          <wp:inline>
            <wp:extent cx="5240510" cy="4049485"/>
            <wp:effectExtent b="0" l="0" r="0" t="0"/>
            <wp:docPr descr="Рис. 2: Настройка IPv4-адресации на узле PC1" title="" id="37" name="Picture"/>
            <a:graphic>
              <a:graphicData uri="http://schemas.openxmlformats.org/drawingml/2006/picture">
                <pic:pic>
                  <pic:nvPicPr>
                    <pic:cNvPr descr="Screenshot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10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2: Настройка IPv4-адресации на узле PC1</w:t>
      </w:r>
    </w:p>
    <w:p>
      <w:pPr>
        <w:numPr>
          <w:ilvl w:val="0"/>
          <w:numId w:val="1010"/>
        </w:numPr>
      </w:pPr>
      <w:r>
        <w:t xml:space="preserve">Аналогичным образом выполнена настройка IPv4-адресации на рабочей станции</w:t>
      </w:r>
      <w:r>
        <w:t xml:space="preserve"> </w:t>
      </w:r>
      <w:r>
        <w:rPr>
          <w:bCs/>
          <w:b/>
        </w:rPr>
        <w:t xml:space="preserve">PC2</w:t>
      </w:r>
      <w:r>
        <w:t xml:space="preserve">. Узлу назначен IP-адрес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Конфигурация сохранена и подтверждена командой отображения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43" w:name="fig:603"/>
      <w:r>
        <w:drawing>
          <wp:inline>
            <wp:extent cx="5009989" cy="4072537"/>
            <wp:effectExtent b="0" l="0" r="0" t="0"/>
            <wp:docPr descr="Рис. 3: Настройка IPv4-адресации на узле PC2" title="" id="41" name="Picture"/>
            <a:graphic>
              <a:graphicData uri="http://schemas.openxmlformats.org/drawingml/2006/picture">
                <pic:pic>
                  <pic:nvPicPr>
                    <pic:cNvPr descr="Screenshot_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407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3: Настройка IPv4-адресации на узле PC2</w:t>
      </w:r>
    </w:p>
    <w:p>
      <w:pPr>
        <w:numPr>
          <w:ilvl w:val="0"/>
          <w:numId w:val="1010"/>
        </w:numPr>
      </w:pPr>
      <w:r>
        <w:t xml:space="preserve">На сервере с двойным стеком адресации выполнена настройка IPv4-параметров. Серверу присвоен IP-адрес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 указанием шлюза по умолчанию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После завершения настройки конфигурация сохранена и успешно проверена.</w:t>
      </w:r>
    </w:p>
    <w:p>
      <w:pPr>
        <w:numPr>
          <w:ilvl w:val="0"/>
          <w:numId w:val="1000"/>
        </w:numPr>
        <w:pStyle w:val="CaptionedFigure"/>
      </w:pPr>
      <w:bookmarkStart w:id="47" w:name="fig:604"/>
      <w:r>
        <w:drawing>
          <wp:inline>
            <wp:extent cx="4548947" cy="4057169"/>
            <wp:effectExtent b="0" l="0" r="0" t="0"/>
            <wp:docPr descr="Рис. 4: Настройка IPv4-адресации на сервере" title="" id="45" name="Picture"/>
            <a:graphic>
              <a:graphicData uri="http://schemas.openxmlformats.org/drawingml/2006/picture">
                <pic:pic>
                  <pic:nvPicPr>
                    <pic:cNvPr descr="Screenshot_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405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4: Настройка IPv4-адресации на сервере</w:t>
      </w:r>
    </w:p>
    <w:p>
      <w:pPr>
        <w:numPr>
          <w:ilvl w:val="0"/>
          <w:numId w:val="1010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выполнена настройка IPv4-адресации интерфейсов локальной сети. Устройству задано имя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. Все интерфейсы переведены в активное состояние, а конфигурация сохранена во внутренней памяти маршрутизатора.</w:t>
      </w:r>
    </w:p>
    <w:p>
      <w:pPr>
        <w:numPr>
          <w:ilvl w:val="0"/>
          <w:numId w:val="1000"/>
        </w:numPr>
        <w:pStyle w:val="CaptionedFigure"/>
      </w:pPr>
      <w:bookmarkStart w:id="51" w:name="fig:605"/>
      <w:r>
        <w:drawing>
          <wp:inline>
            <wp:extent cx="5334000" cy="3709396"/>
            <wp:effectExtent b="0" l="0" r="0" t="0"/>
            <wp:docPr descr="Рис. 5: Настройка IPv4-интерфейсов маршрутизатора FRR" title="" id="49" name="Picture"/>
            <a:graphic>
              <a:graphicData uri="http://schemas.openxmlformats.org/drawingml/2006/picture">
                <pic:pic>
                  <pic:nvPicPr>
                    <pic:cNvPr descr="Screenshot_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5: Настройка IPv4-интерфейсов маршрутизатора FRR</w:t>
      </w:r>
    </w:p>
    <w:p>
      <w:pPr>
        <w:numPr>
          <w:ilvl w:val="0"/>
          <w:numId w:val="1010"/>
        </w:numPr>
      </w:pPr>
      <w:r>
        <w:t xml:space="preserve">Выполнена проверка текущей конфигурации маршрутизатора</w:t>
      </w:r>
      <w:r>
        <w:t xml:space="preserve"> </w:t>
      </w:r>
      <w:r>
        <w:rPr>
          <w:bCs/>
          <w:b/>
        </w:rPr>
        <w:t xml:space="preserve">msk-elsaiedadel-gw-01</w:t>
      </w:r>
      <w:r>
        <w:t xml:space="preserve">. Подтверждено наличие заданных IP-адресов и корректное состояние сетевых интерфейсов.</w:t>
      </w:r>
    </w:p>
    <w:p>
      <w:pPr>
        <w:numPr>
          <w:ilvl w:val="0"/>
          <w:numId w:val="1000"/>
        </w:numPr>
        <w:pStyle w:val="CaptionedFigure"/>
      </w:pPr>
      <w:bookmarkStart w:id="55" w:name="fig:606"/>
      <w:r>
        <w:drawing>
          <wp:inline>
            <wp:extent cx="3565391" cy="4080221"/>
            <wp:effectExtent b="0" l="0" r="0" t="0"/>
            <wp:docPr descr="Рис. 6: Просмотр текущей конфигурации маршрутизатора FRR" title="" id="53" name="Picture"/>
            <a:graphic>
              <a:graphicData uri="http://schemas.openxmlformats.org/drawingml/2006/picture">
                <pic:pic>
                  <pic:nvPicPr>
                    <pic:cNvPr descr="Screenshot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1" cy="408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6: Просмотр текущей конфигурации маршрутизатора FRR</w:t>
      </w:r>
    </w:p>
    <w:p>
      <w:pPr>
        <w:numPr>
          <w:ilvl w:val="0"/>
          <w:numId w:val="1000"/>
        </w:numPr>
        <w:pStyle w:val="CaptionedFigure"/>
      </w:pPr>
      <w:bookmarkStart w:id="59" w:name="fig:607"/>
      <w:r>
        <w:drawing>
          <wp:inline>
            <wp:extent cx="5071462" cy="2458890"/>
            <wp:effectExtent b="0" l="0" r="0" t="0"/>
            <wp:docPr descr="Рис. 7: Состояние интерфейсов маршрутизатора FRR" title="" id="57" name="Picture"/>
            <a:graphic>
              <a:graphicData uri="http://schemas.openxmlformats.org/drawingml/2006/picture">
                <pic:pic>
                  <pic:nvPicPr>
                    <pic:cNvPr descr="Screenshot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245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7: Состояние интерфейсов маршрутизатора FRR</w:t>
      </w:r>
    </w:p>
    <w:p>
      <w:pPr>
        <w:numPr>
          <w:ilvl w:val="0"/>
          <w:numId w:val="1010"/>
        </w:numPr>
      </w:pPr>
      <w:r>
        <w:t xml:space="preserve">Для проверки связности сети выполнено тестирование с использованием ICMP-эхо-запросов и трассировки маршрута. С рабочей станции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успешно выполнена проверка доступности узла</w:t>
      </w:r>
      <w:r>
        <w:t xml:space="preserve"> </w:t>
      </w:r>
      <w:r>
        <w:rPr>
          <w:bCs/>
          <w:b/>
        </w:rPr>
        <w:t xml:space="preserve">PC2</w:t>
      </w:r>
      <w:r>
        <w:t xml:space="preserve">, а также подтверждён корректный маршрут прохождения пакетов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63" w:name="fig:608"/>
      <w:r>
        <w:drawing>
          <wp:inline>
            <wp:extent cx="5334000" cy="2555051"/>
            <wp:effectExtent b="0" l="0" r="0" t="0"/>
            <wp:docPr descr="Рис. 8: Проверка связности между PC1 и PC2" title="" id="61" name="Picture"/>
            <a:graphic>
              <a:graphicData uri="http://schemas.openxmlformats.org/drawingml/2006/picture">
                <pic:pic>
                  <pic:nvPicPr>
                    <pic:cNvPr descr="Screenshot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8: Проверка связности между PC1 и PC2</w:t>
      </w:r>
    </w:p>
    <w:p>
      <w:pPr>
        <w:numPr>
          <w:ilvl w:val="0"/>
          <w:numId w:val="1010"/>
        </w:numPr>
      </w:pPr>
      <w:r>
        <w:t xml:space="preserve">Дополнительно выполнена проверка доступности сервера с двойным стеком адресации с рабочей станции</w:t>
      </w:r>
      <w:r>
        <w:t xml:space="preserve"> </w:t>
      </w:r>
      <w:r>
        <w:rPr>
          <w:bCs/>
          <w:b/>
        </w:rPr>
        <w:t xml:space="preserve">PC2</w:t>
      </w:r>
      <w:r>
        <w:t xml:space="preserve">. Узел успешно отвечает на ICMP-запросы, что подтверждает корректность настройки IPv4-адресации и маршрутизации в сети.</w:t>
      </w:r>
    </w:p>
    <w:p>
      <w:pPr>
        <w:pStyle w:val="CaptionedFigure"/>
      </w:pPr>
      <w:bookmarkStart w:id="67" w:name="fig:609"/>
      <w:r>
        <w:drawing>
          <wp:inline>
            <wp:extent cx="5334000" cy="2545023"/>
            <wp:effectExtent b="0" l="0" r="0" t="0"/>
            <wp:docPr descr="Рис. 9: Проверка доступности сервера с узла PC2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Проверка доступности сервера с узла PC2</w:t>
      </w:r>
    </w:p>
    <w:p>
      <w:pPr>
        <w:numPr>
          <w:ilvl w:val="0"/>
          <w:numId w:val="1011"/>
        </w:numPr>
        <w:pStyle w:val="Compact"/>
      </w:pPr>
      <w:r>
        <w:t xml:space="preserve">В соответствии с таблицей адресации выполнена настройка IPv6-адресов на узлах</w:t>
      </w:r>
      <w:r>
        <w:t xml:space="preserve"> </w:t>
      </w:r>
      <w:r>
        <w:rPr>
          <w:bCs/>
          <w:b/>
        </w:rPr>
        <w:t xml:space="preserve">PC3</w:t>
      </w:r>
      <w:r>
        <w:t xml:space="preserve">,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и сервере с двойным стеком адресации.</w:t>
      </w:r>
      <w:r>
        <w:br/>
      </w:r>
      <w:r>
        <w:t xml:space="preserve">На узле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.</w:t>
      </w:r>
      <w:r>
        <w:br/>
      </w:r>
      <w:r>
        <w:t xml:space="preserve">На узле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настроен IPv6-адрес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.</w:t>
      </w:r>
      <w:r>
        <w:br/>
      </w:r>
      <w:r>
        <w:t xml:space="preserve">Серверу двойного стека присвоен IPv6-адрес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.</w:t>
      </w:r>
      <w:r>
        <w:br/>
      </w:r>
      <w:r>
        <w:t xml:space="preserve">После ввода параметров конфигурация на каждом узле сохранена.</w:t>
      </w:r>
    </w:p>
    <w:p>
      <w:pPr>
        <w:pStyle w:val="CaptionedFigure"/>
      </w:pPr>
      <w:bookmarkStart w:id="71" w:name="fig:610"/>
      <w:r>
        <w:drawing>
          <wp:inline>
            <wp:extent cx="4856309" cy="4034117"/>
            <wp:effectExtent b="0" l="0" r="0" t="0"/>
            <wp:docPr descr="Рис. 10: Настройка IPv6-адресации на узле PC3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403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Настройка IPv6-адресации на узле PC3</w:t>
      </w:r>
    </w:p>
    <w:p>
      <w:pPr>
        <w:pStyle w:val="CaptionedFigure"/>
      </w:pPr>
      <w:bookmarkStart w:id="75" w:name="fig:611"/>
      <w:r>
        <w:drawing>
          <wp:inline>
            <wp:extent cx="4556631" cy="4049485"/>
            <wp:effectExtent b="0" l="0" r="0" t="0"/>
            <wp:docPr descr="Рис. 11: Настройка IPv6-адресации на узле PC4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Настройка IPv6-адресации на узле PC4</w:t>
      </w:r>
    </w:p>
    <w:p>
      <w:pPr>
        <w:pStyle w:val="CaptionedFigure"/>
      </w:pPr>
      <w:bookmarkStart w:id="79" w:name="fig:612"/>
      <w:r>
        <w:drawing>
          <wp:inline>
            <wp:extent cx="4272322" cy="3742124"/>
            <wp:effectExtent b="0" l="0" r="0" t="0"/>
            <wp:docPr descr="Рис. 12: Настройка IPv6-адресации на сервере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322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Настройка IPv6-адресации на сервере</w:t>
      </w:r>
    </w:p>
    <w:p>
      <w:pPr>
        <w:numPr>
          <w:ilvl w:val="0"/>
          <w:numId w:val="1012"/>
        </w:numPr>
      </w:pPr>
      <w:r>
        <w:t xml:space="preserve">На рабочих станциях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выполнена проверка параметров сетевой конфигурации. Подтверждено наличие как link-local, так и global IPv6-адресов, а также корректное отсутствие IPv4-связности для данных узлов.</w:t>
      </w:r>
    </w:p>
    <w:p>
      <w:pPr>
        <w:numPr>
          <w:ilvl w:val="0"/>
          <w:numId w:val="1012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выполнена установка системы с последующей перезагрузкой устройства. После запуска маршрутизатора произведён переход в режим конфигурирования и изменено имя устройства на</w:t>
      </w:r>
      <w:r>
        <w:t xml:space="preserve"> </w:t>
      </w:r>
      <w:r>
        <w:rPr>
          <w:rStyle w:val="VerbatimChar"/>
        </w:rPr>
        <w:t xml:space="preserve">msk-elsaiedadel-gw-02</w:t>
      </w:r>
      <w:r>
        <w:t xml:space="preserve">. Конфигурация зафиксирована и сохранена.</w:t>
      </w:r>
    </w:p>
    <w:p>
      <w:pPr>
        <w:numPr>
          <w:ilvl w:val="0"/>
          <w:numId w:val="1012"/>
        </w:numPr>
      </w:pPr>
      <w:r>
        <w:t xml:space="preserve">Выполнена настройка IPv6-адресации интерфейсов локальной сети маршрутизатора</w:t>
      </w:r>
      <w:r>
        <w:t xml:space="preserve"> </w:t>
      </w:r>
      <w:r>
        <w:rPr>
          <w:bCs/>
          <w:b/>
        </w:rPr>
        <w:t xml:space="preserve">msk-elsaiedadel-gw-02</w:t>
      </w:r>
      <w:r>
        <w:t xml:space="preserve">.</w:t>
      </w:r>
      <w:r>
        <w:br/>
      </w: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.</w:t>
      </w:r>
      <w:r>
        <w:br/>
      </w:r>
      <w:r>
        <w:t xml:space="preserve">Для каждого интерфейса настроена рассылка Router Advertisement с соответствующим IPv6-префиксом. Конфигурация применена и сохранена.</w:t>
      </w:r>
    </w:p>
    <w:p>
      <w:pPr>
        <w:pStyle w:val="CaptionedFigure"/>
      </w:pPr>
      <w:bookmarkStart w:id="83" w:name="fig:613"/>
      <w:r>
        <w:drawing>
          <wp:inline>
            <wp:extent cx="5334000" cy="2749550"/>
            <wp:effectExtent b="0" l="0" r="0" t="0"/>
            <wp:docPr descr="Рис. 13: Настройка IPv6-адресов и Router Advertisement на VyOS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Настройка IPv6-адресов и Router Advertisement на VyOS</w:t>
      </w:r>
    </w:p>
    <w:p>
      <w:pPr>
        <w:pStyle w:val="CaptionedFigure"/>
      </w:pPr>
      <w:bookmarkStart w:id="87" w:name="fig:614"/>
      <w:r>
        <w:drawing>
          <wp:inline>
            <wp:extent cx="4072537" cy="2681727"/>
            <wp:effectExtent b="0" l="0" r="0" t="0"/>
            <wp:docPr descr="Рис. 14: Просмотр конфигурации интерфейсов маршрутизатора VyOS" title="" id="85" name="Picture"/>
            <a:graphic>
              <a:graphicData uri="http://schemas.openxmlformats.org/drawingml/2006/picture">
                <pic:pic>
                  <pic:nvPicPr>
                    <pic:cNvPr descr="Screenshot_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37" cy="268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Просмотр конфигурации интерфейсов маршрутизатора VyOS</w:t>
      </w:r>
    </w:p>
    <w:p>
      <w:pPr>
        <w:numPr>
          <w:ilvl w:val="0"/>
          <w:numId w:val="1013"/>
        </w:numPr>
        <w:pStyle w:val="Compact"/>
      </w:pPr>
      <w:r>
        <w:t xml:space="preserve">Выполнена проверка связности IPv6-сети с использованием команд проверки доступности и трассировки маршрута. Узлы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PC4</w:t>
      </w:r>
      <w:r>
        <w:t xml:space="preserve"> </w:t>
      </w:r>
      <w:r>
        <w:t xml:space="preserve">успешно обмениваются ICMPv6-эхо-запросами между собой и с сервером двойного стека, что подтверждает корректную настройку IPv6-адресации и маршрутизации.</w:t>
      </w:r>
    </w:p>
    <w:p>
      <w:pPr>
        <w:pStyle w:val="CaptionedFigure"/>
      </w:pPr>
      <w:bookmarkStart w:id="91" w:name="fig:615"/>
      <w:r>
        <w:drawing>
          <wp:inline>
            <wp:extent cx="5334000" cy="3563630"/>
            <wp:effectExtent b="0" l="0" r="0" t="0"/>
            <wp:docPr descr="Рис. 15: Проверка IPv6-связности с узла PC3" title="" id="89" name="Picture"/>
            <a:graphic>
              <a:graphicData uri="http://schemas.openxmlformats.org/drawingml/2006/picture">
                <pic:pic>
                  <pic:nvPicPr>
                    <pic:cNvPr descr="Screenshot_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15: Проверка IPv6-связности с узла PC3</w:t>
      </w:r>
    </w:p>
    <w:p>
      <w:pPr>
        <w:pStyle w:val="CaptionedFigure"/>
      </w:pPr>
      <w:bookmarkStart w:id="95" w:name="fig:616"/>
      <w:r>
        <w:drawing>
          <wp:inline>
            <wp:extent cx="5217458" cy="3611495"/>
            <wp:effectExtent b="0" l="0" r="0" t="0"/>
            <wp:docPr descr="Рис. 16: Проверка IPv6-связности с узла PC4" title="" id="93" name="Picture"/>
            <a:graphic>
              <a:graphicData uri="http://schemas.openxmlformats.org/drawingml/2006/picture">
                <pic:pic>
                  <pic:nvPicPr>
                    <pic:cNvPr descr="Screenshot_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3611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Проверка IPv6-связности с узла PC4</w:t>
      </w:r>
    </w:p>
    <w:p>
      <w:pPr>
        <w:numPr>
          <w:ilvl w:val="0"/>
          <w:numId w:val="1014"/>
        </w:numPr>
        <w:pStyle w:val="Compact"/>
      </w:pPr>
      <w:r>
        <w:t xml:space="preserve">Дополнительно выполнена проверка изоляции подсетей IPv4 и IPv6. Подтверждено, что устройства из IPv4-подсети не имеют доступа к узлам IPv6-подсети и наоборот. Связность между обеими подсетями обеспечивается исключительно сервером с двойным стеком адресации.</w:t>
      </w:r>
    </w:p>
    <w:p>
      <w:pPr>
        <w:pStyle w:val="CaptionedFigure"/>
      </w:pPr>
      <w:bookmarkStart w:id="99" w:name="fig:617"/>
      <w:r>
        <w:drawing>
          <wp:inline>
            <wp:extent cx="5334000" cy="3533775"/>
            <wp:effectExtent b="0" l="0" r="0" t="0"/>
            <wp:docPr descr="Рис. 17: Проверка доступа сервера двойного стека к IPv4 и IPv6 подсетям" title="" id="97" name="Picture"/>
            <a:graphic>
              <a:graphicData uri="http://schemas.openxmlformats.org/drawingml/2006/picture">
                <pic:pic>
                  <pic:nvPicPr>
                    <pic:cNvPr descr="Screenshot_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17: Проверка доступа сервера двойного стека к IPv4 и IPv6 подсетям</w:t>
      </w:r>
    </w:p>
    <w:bookmarkEnd w:id="100"/>
    <w:bookmarkStart w:id="113" w:name="X702bb4e6a38f863880d83f151ef920548583c7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захваченного трафика ARP, ICMP и ICMPv6</w:t>
      </w:r>
    </w:p>
    <w:p>
      <w:pPr>
        <w:numPr>
          <w:ilvl w:val="0"/>
          <w:numId w:val="1015"/>
        </w:numPr>
        <w:pStyle w:val="Compact"/>
      </w:pPr>
      <w:r>
        <w:t xml:space="preserve">На соединении между сервером с двойным стеком адресации и ближайшим к нему коммутатором выполнен захват сетевого трафика с использованием встроенных средств анализа пакетов. В процессе захвата зафиксированы пакеты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,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ICMPv6</w:t>
      </w:r>
      <w:r>
        <w:t xml:space="preserve">, что позволило проанализировать особенности функционирования IPv4- и IPv6-сетей, а также взаимодействие узлов в среде с двойным стеком.</w:t>
      </w:r>
    </w:p>
    <w:p>
      <w:pPr>
        <w:pStyle w:val="CaptionedFigure"/>
      </w:pPr>
      <w:bookmarkStart w:id="104" w:name="fig:618"/>
      <w:r>
        <w:drawing>
          <wp:inline>
            <wp:extent cx="5334000" cy="4235976"/>
            <wp:effectExtent b="0" l="0" r="0" t="0"/>
            <wp:docPr descr="Рис. 18: Анализ ICMP-трафика IPv4" title="" id="102" name="Picture"/>
            <a:graphic>
              <a:graphicData uri="http://schemas.openxmlformats.org/drawingml/2006/picture">
                <pic:pic>
                  <pic:nvPicPr>
                    <pic:cNvPr descr="Screenshot_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18: Анализ ICMP-трафика IPv4</w:t>
      </w:r>
    </w:p>
    <w:p>
      <w:pPr>
        <w:pStyle w:val="BodyText"/>
      </w:pPr>
      <w:r>
        <w:t xml:space="preserve">При анализе ICMP-пакетов IPv4 установлено, что сервер с адресом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и узел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 </w:t>
      </w:r>
      <w:r>
        <w:t xml:space="preserve">успешно обмениваются эхо-запросами и эхо-ответами. Из заголовков IPv4 можно извлечь следующую информацию:</w:t>
      </w:r>
      <w:r>
        <w:t xml:space="preserve"> </w:t>
      </w:r>
      <w:r>
        <w:t xml:space="preserve">- IP-адрес источника и назначения, что позволяет определить направление передачи пакета;</w:t>
      </w:r>
      <w:r>
        <w:t xml:space="preserve"> </w:t>
      </w:r>
      <w:r>
        <w:t xml:space="preserve">- значение поля</w:t>
      </w:r>
      <w:r>
        <w:t xml:space="preserve"> </w:t>
      </w:r>
      <w:r>
        <w:rPr>
          <w:bCs/>
          <w:b/>
        </w:rPr>
        <w:t xml:space="preserve">TTL</w:t>
      </w:r>
      <w:r>
        <w:t xml:space="preserve">, уменьшающееся при прохождении через маршрутизаторы и отражающее количество оставшихся переходов;</w:t>
      </w:r>
      <w:r>
        <w:t xml:space="preserve"> </w:t>
      </w:r>
      <w:r>
        <w:t xml:space="preserve">- идентификаторы и порядковые номера ICMP-пакетов, используемые для сопоставления запросов и ответов;</w:t>
      </w:r>
      <w:r>
        <w:t xml:space="preserve"> </w:t>
      </w:r>
      <w:r>
        <w:t xml:space="preserve">- корректность контрольных сумм, подтверждающая целостность переданных данных.</w:t>
      </w:r>
      <w:r>
        <w:t xml:space="preserve"> </w:t>
      </w:r>
      <w:r>
        <w:t xml:space="preserve">Данный трафик подтверждает корректную работу IPv4-маршрутизации между подсетями.</w:t>
      </w:r>
    </w:p>
    <w:p>
      <w:pPr>
        <w:pStyle w:val="CaptionedFigure"/>
      </w:pPr>
      <w:bookmarkStart w:id="108" w:name="fig:619"/>
      <w:r>
        <w:drawing>
          <wp:inline>
            <wp:extent cx="5334000" cy="4073425"/>
            <wp:effectExtent b="0" l="0" r="0" t="0"/>
            <wp:docPr descr="Рис. 19: Анализ ICMPv6-трафика" title="" id="106" name="Picture"/>
            <a:graphic>
              <a:graphicData uri="http://schemas.openxmlformats.org/drawingml/2006/picture">
                <pic:pic>
                  <pic:nvPicPr>
                    <pic:cNvPr descr="Screenshot_1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19: Анализ ICMPv6-трафика</w:t>
      </w:r>
    </w:p>
    <w:p>
      <w:pPr>
        <w:pStyle w:val="BodyText"/>
      </w:pPr>
      <w:r>
        <w:t xml:space="preserve">Анализ ICMPv6-пакетов показал успешный обмен эхо-запросами и ответами между IPv6-узлами с адресами</w:t>
      </w:r>
      <w:r>
        <w:t xml:space="preserve"> </w:t>
      </w:r>
      <w:r>
        <w:rPr>
          <w:rStyle w:val="VerbatimChar"/>
        </w:rPr>
        <w:t xml:space="preserve">2001:db8:c0de:12::a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. Из перехваченных ICMPv6-пакетов можно получить следующую информацию:</w:t>
      </w:r>
      <w:r>
        <w:t xml:space="preserve"> </w:t>
      </w:r>
      <w:r>
        <w:t xml:space="preserve">- глобальные IPv6-адреса источника и назначения;</w:t>
      </w:r>
      <w:r>
        <w:t xml:space="preserve"> </w:t>
      </w:r>
      <w:r>
        <w:t xml:space="preserve">- тип сообщения ICMPv6 (Echo Request и Echo Reply);</w:t>
      </w:r>
      <w:r>
        <w:t xml:space="preserve"> </w:t>
      </w:r>
      <w:r>
        <w:t xml:space="preserve">- значение поля</w:t>
      </w:r>
      <w:r>
        <w:t xml:space="preserve"> </w:t>
      </w:r>
      <w:r>
        <w:rPr>
          <w:bCs/>
          <w:b/>
        </w:rPr>
        <w:t xml:space="preserve">Hop Limit</w:t>
      </w:r>
      <w:r>
        <w:t xml:space="preserve">, аналогичное TTL в IPv4;</w:t>
      </w:r>
      <w:r>
        <w:t xml:space="preserve"> </w:t>
      </w:r>
      <w:r>
        <w:t xml:space="preserve">- идентификаторы и номера последовательности, позволяющие отслеживать порядок доставки пакетов.</w:t>
      </w:r>
      <w:r>
        <w:t xml:space="preserve"> </w:t>
      </w:r>
      <w:r>
        <w:t xml:space="preserve">Данный трафик подтверждает корректную работу IPv6-адресации и маршрутизации в соответствующей подсети.</w:t>
      </w:r>
    </w:p>
    <w:p>
      <w:pPr>
        <w:pStyle w:val="CaptionedFigure"/>
      </w:pPr>
      <w:bookmarkStart w:id="112" w:name="fig:620"/>
      <w:r>
        <w:drawing>
          <wp:inline>
            <wp:extent cx="5334000" cy="3352344"/>
            <wp:effectExtent b="0" l="0" r="0" t="0"/>
            <wp:docPr descr="Рис. 20: Анализ ARP-трафика" title="" id="110" name="Picture"/>
            <a:graphic>
              <a:graphicData uri="http://schemas.openxmlformats.org/drawingml/2006/picture">
                <pic:pic>
                  <pic:nvPicPr>
                    <pic:cNvPr descr="Screenshot_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20: Анализ ARP-трафика</w:t>
      </w:r>
    </w:p>
    <w:p>
      <w:pPr>
        <w:pStyle w:val="BodyText"/>
      </w:pPr>
      <w:r>
        <w:t xml:space="preserve">В ходе анализа ARP-трафика установлено, что сервер с IPv4-адресом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выполняет широковещательный ARP-запрос с целью определения MAC-адреса шлюза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В ARP-пакетах содержится следующая информация:</w:t>
      </w:r>
      <w:r>
        <w:t xml:space="preserve"> </w:t>
      </w:r>
      <w:r>
        <w:t xml:space="preserve">- аппаратный тип и тип протокола, указывающие на использование Ethernet и IPv4;</w:t>
      </w:r>
      <w:r>
        <w:t xml:space="preserve"> </w:t>
      </w:r>
      <w:r>
        <w:t xml:space="preserve">- MAC-адрес отправителя и его IPv4-адрес;</w:t>
      </w:r>
      <w:r>
        <w:t xml:space="preserve"> </w:t>
      </w:r>
      <w:r>
        <w:t xml:space="preserve">- целевой IPv4-адрес, для которого требуется определить MAC-адрес;</w:t>
      </w:r>
      <w:r>
        <w:t xml:space="preserve"> </w:t>
      </w:r>
      <w:r>
        <w:t xml:space="preserve">- широковещательный MAC-адрес назначения, используемый для рассылки запроса всем устройствам в сегменте сети.</w:t>
      </w:r>
      <w:r>
        <w:t xml:space="preserve"> </w:t>
      </w:r>
      <w:r>
        <w:t xml:space="preserve">Данный процесс подтверждает стандартный механизм разрешения IPv4-адресов в MAC-адреса перед началом передачи ICMP-трафика.</w:t>
      </w:r>
    </w:p>
    <w:bookmarkEnd w:id="113"/>
    <w:bookmarkStart w:id="138" w:name="самостоятельное-задани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Самостоятельное задание</w:t>
      </w:r>
    </w:p>
    <w:p>
      <w:pPr>
        <w:numPr>
          <w:ilvl w:val="0"/>
          <w:numId w:val="1016"/>
        </w:numPr>
      </w:pPr>
      <w:r>
        <w:t xml:space="preserve">В среде GNS3 подготовлена топология сети с двумя локальными подсетями, разделёнными маршрутизатором</w:t>
      </w:r>
      <w:r>
        <w:t xml:space="preserve"> </w:t>
      </w:r>
      <w:r>
        <w:rPr>
          <w:bCs/>
          <w:b/>
        </w:rPr>
        <w:t xml:space="preserve">VyOS</w:t>
      </w:r>
      <w:r>
        <w:t xml:space="preserve">. В состав схемы включены два оконечных узла (</w:t>
      </w:r>
      <w:r>
        <w:rPr>
          <w:bCs/>
          <w:b/>
        </w:rPr>
        <w:t xml:space="preserve">PC1</w:t>
      </w:r>
      <w:r>
        <w:t xml:space="preserve">,</w:t>
      </w:r>
      <w:r>
        <w:t xml:space="preserve"> </w:t>
      </w:r>
      <w:r>
        <w:rPr>
          <w:bCs/>
          <w:b/>
        </w:rPr>
        <w:t xml:space="preserve">PC2</w:t>
      </w:r>
      <w:r>
        <w:t xml:space="preserve">), два коммутатора уровня доступа и один маршрутизатор, обеспечивающий маршрутизацию между подсетями и работу протоколов IPv4/IPv6 в режиме двойного стека.</w:t>
      </w:r>
    </w:p>
    <w:p>
      <w:pPr>
        <w:numPr>
          <w:ilvl w:val="0"/>
          <w:numId w:val="1000"/>
        </w:numPr>
        <w:pStyle w:val="CaptionedFigure"/>
      </w:pPr>
      <w:bookmarkStart w:id="117" w:name="fig:621"/>
      <w:r>
        <w:drawing>
          <wp:inline>
            <wp:extent cx="5334000" cy="2429132"/>
            <wp:effectExtent b="0" l="0" r="0" t="0"/>
            <wp:docPr descr="Рис. 21: Топология сети с двумя локальными подсетями" title="" id="115" name="Picture"/>
            <a:graphic>
              <a:graphicData uri="http://schemas.openxmlformats.org/drawingml/2006/picture">
                <pic:pic>
                  <pic:nvPicPr>
                    <pic:cNvPr descr="Screenshot_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numPr>
          <w:ilvl w:val="0"/>
          <w:numId w:val="1000"/>
        </w:numPr>
        <w:pStyle w:val="ImageCaption"/>
      </w:pPr>
      <w:r>
        <w:t xml:space="preserve">Рис. 21: Топология сети с двумя локальными подсетями</w:t>
      </w:r>
    </w:p>
    <w:p>
      <w:pPr>
        <w:numPr>
          <w:ilvl w:val="0"/>
          <w:numId w:val="1016"/>
        </w:numPr>
      </w:pPr>
      <w:r>
        <w:t xml:space="preserve">Выполнена характеристика заданных подсетей IPv4 и IPv6, определены диапазоны адресов, входящих в каждую подсеть, а также выделены служебные (сетевой и широковещательный) адреса для IPv4.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1 (IPv4):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10.10.1.96/27</w:t>
      </w:r>
      <w:r>
        <w:br/>
      </w: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(255.255.255.224), размер подсети — 32 адреса, число пригодных адресов для узлов — 30.</w:t>
      </w:r>
    </w:p>
    <w:p>
      <w:pPr>
        <w:numPr>
          <w:ilvl w:val="1"/>
          <w:numId w:val="1017"/>
        </w:numPr>
        <w:pStyle w:val="Compact"/>
      </w:pPr>
      <w:r>
        <w:t xml:space="preserve">Сетевой адрес:</w:t>
      </w:r>
      <w:r>
        <w:t xml:space="preserve"> </w:t>
      </w:r>
      <w:r>
        <w:rPr>
          <w:rStyle w:val="VerbatimChar"/>
        </w:rPr>
        <w:t xml:space="preserve">10.10.1.96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10.10.1.126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10.10.1.127</w:t>
      </w:r>
      <w:r>
        <w:br/>
      </w:r>
      <w:r>
        <w:t xml:space="preserve">Таким образом, в данную подсеть входят все адреса от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является адресом сети, а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 </w:t>
      </w:r>
      <w:r>
        <w:t xml:space="preserve">— broadcast-адресом.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2 (IPv4):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10.10.1.16/28</w:t>
      </w:r>
      <w:r>
        <w:br/>
      </w: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(255.255.255.240), размер подсети — 16 адресов, число пригодных адресов для узлов — 14.</w:t>
      </w:r>
    </w:p>
    <w:p>
      <w:pPr>
        <w:numPr>
          <w:ilvl w:val="1"/>
          <w:numId w:val="1018"/>
        </w:numPr>
        <w:pStyle w:val="Compact"/>
      </w:pPr>
      <w:r>
        <w:t xml:space="preserve">Сетевой адрес:</w:t>
      </w:r>
      <w:r>
        <w:t xml:space="preserve"> </w:t>
      </w:r>
      <w:r>
        <w:rPr>
          <w:rStyle w:val="VerbatimChar"/>
        </w:rPr>
        <w:t xml:space="preserve">10.10.1.16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10.10.1.30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10.10.1.31</w:t>
      </w:r>
      <w:r>
        <w:br/>
      </w:r>
      <w:r>
        <w:t xml:space="preserve">В данную подсеть входят все адреса от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 </w:t>
      </w:r>
      <w:r>
        <w:t xml:space="preserve">является адресом сети, а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 </w:t>
      </w:r>
      <w:r>
        <w:t xml:space="preserve">— broadcast-адресом.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1 (IPv6):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2001:DB8:1:1::/64</w:t>
      </w:r>
      <w:r>
        <w:br/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содержит пространство адресов, в котором первые 64 бита фиксированы префиксом, а оставшиеся 64 бита используются как идентификатор интерфейса.</w:t>
      </w:r>
    </w:p>
    <w:p>
      <w:pPr>
        <w:numPr>
          <w:ilvl w:val="1"/>
          <w:numId w:val="1019"/>
        </w:numPr>
        <w:pStyle w:val="Compact"/>
      </w:pPr>
      <w:r>
        <w:t xml:space="preserve">Адресное пространство:</w:t>
      </w:r>
      <w:r>
        <w:t xml:space="preserve"> </w:t>
      </w:r>
      <w:r>
        <w:rPr>
          <w:rStyle w:val="VerbatimChar"/>
        </w:rPr>
        <w:t xml:space="preserve">2001:db8:1:1::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2001:db8:1:1:ffff:ffff:ffff:ffff</w:t>
      </w:r>
      <w:r>
        <w:br/>
      </w:r>
      <w:r>
        <w:t xml:space="preserve">В IPv6 отсутствуют понятия broadcast-адреса; рассылки выполняются с использованием multicast.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Подсеть 2 (IPv6):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2001:DB8:1:4::/64</w:t>
      </w:r>
    </w:p>
    <w:p>
      <w:pPr>
        <w:numPr>
          <w:ilvl w:val="1"/>
          <w:numId w:val="1020"/>
        </w:numPr>
        <w:pStyle w:val="Compact"/>
      </w:pPr>
      <w:r>
        <w:t xml:space="preserve">Адресное пространство:</w:t>
      </w:r>
      <w:r>
        <w:t xml:space="preserve"> </w:t>
      </w:r>
      <w:r>
        <w:rPr>
          <w:rStyle w:val="VerbatimChar"/>
        </w:rPr>
        <w:t xml:space="preserve">2001:db8:1:4::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2001:db8:1:4:ffff:ffff:ffff:ffff</w:t>
      </w:r>
      <w:r>
        <w:br/>
      </w:r>
      <w:r>
        <w:t xml:space="preserve">Аналогично первой подсети, адреса формируются в пределах префикса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при этом адреса рассылок выполняются через multicast.</w:t>
      </w:r>
    </w:p>
    <w:p>
      <w:pPr>
        <w:numPr>
          <w:ilvl w:val="0"/>
          <w:numId w:val="1016"/>
        </w:numPr>
      </w:pPr>
      <w:r>
        <w:t xml:space="preserve">Предложен вариант таблицы адресации для заданной топологии и адресного пространства. Для интерфейсов маршрутизатора выбран</w:t>
      </w:r>
      <w:r>
        <w:t xml:space="preserve"> </w:t>
      </w:r>
      <w:r>
        <w:rPr>
          <w:bCs/>
          <w:b/>
        </w:rPr>
        <w:t xml:space="preserve">наименьший доступный адрес</w:t>
      </w:r>
      <w:r>
        <w:t xml:space="preserve"> </w:t>
      </w:r>
      <w:r>
        <w:t xml:space="preserve">в каждой подсети, что соответствует требованиям задания.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Таблица адресации (вариант):</w:t>
      </w:r>
    </w:p>
    <w:p>
      <w:pPr>
        <w:numPr>
          <w:ilvl w:val="1"/>
          <w:numId w:val="1021"/>
        </w:numPr>
        <w:pStyle w:val="Compact"/>
      </w:pPr>
      <w:r>
        <w:t xml:space="preserve">Маршрутизатор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, интерфейс к подсети 1 (eth0):</w:t>
      </w:r>
    </w:p>
    <w:p>
      <w:pPr>
        <w:numPr>
          <w:ilvl w:val="2"/>
          <w:numId w:val="1022"/>
        </w:numPr>
        <w:pStyle w:val="Compact"/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(наименьший адрес узла в подсети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)</w:t>
      </w:r>
      <w:r>
        <w:br/>
      </w:r>
    </w:p>
    <w:p>
      <w:pPr>
        <w:numPr>
          <w:ilvl w:val="2"/>
          <w:numId w:val="1022"/>
        </w:numPr>
        <w:pStyle w:val="Compact"/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 </w:t>
      </w:r>
      <w:r>
        <w:t xml:space="preserve">(минимальный адрес для интерфейса маршрутизатора в префиксе)</w:t>
      </w:r>
    </w:p>
    <w:p>
      <w:pPr>
        <w:numPr>
          <w:ilvl w:val="1"/>
          <w:numId w:val="1021"/>
        </w:numPr>
        <w:pStyle w:val="Compact"/>
      </w:pPr>
      <w:r>
        <w:t xml:space="preserve">Маршрутизатор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, интерфейс к подсети 2 (eth1):</w:t>
      </w:r>
    </w:p>
    <w:p>
      <w:pPr>
        <w:numPr>
          <w:ilvl w:val="2"/>
          <w:numId w:val="1023"/>
        </w:numPr>
        <w:pStyle w:val="Compact"/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(наименьший адрес узла в подсети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)</w:t>
      </w:r>
      <w:r>
        <w:br/>
      </w:r>
    </w:p>
    <w:p>
      <w:pPr>
        <w:numPr>
          <w:ilvl w:val="2"/>
          <w:numId w:val="1023"/>
        </w:numPr>
        <w:pStyle w:val="Compact"/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2001:db8:1:4::1/64</w:t>
      </w:r>
    </w:p>
    <w:p>
      <w:pPr>
        <w:numPr>
          <w:ilvl w:val="1"/>
          <w:numId w:val="1021"/>
        </w:numPr>
        <w:pStyle w:val="Compact"/>
      </w:pPr>
      <w:r>
        <w:t xml:space="preserve">Узел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(подсеть 1):</w:t>
      </w:r>
    </w:p>
    <w:p>
      <w:pPr>
        <w:numPr>
          <w:ilvl w:val="2"/>
          <w:numId w:val="1024"/>
        </w:numPr>
        <w:pStyle w:val="Compact"/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, шлюз:</w:t>
      </w:r>
      <w:r>
        <w:t xml:space="preserve"> </w:t>
      </w:r>
      <w:r>
        <w:rPr>
          <w:rStyle w:val="VerbatimChar"/>
        </w:rPr>
        <w:t xml:space="preserve">10.10.1.97</w:t>
      </w:r>
      <w:r>
        <w:br/>
      </w:r>
    </w:p>
    <w:p>
      <w:pPr>
        <w:numPr>
          <w:ilvl w:val="2"/>
          <w:numId w:val="1024"/>
        </w:numPr>
        <w:pStyle w:val="Compact"/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, шлюз по умолчанию формируется через Router Advertisement</w:t>
      </w:r>
    </w:p>
    <w:p>
      <w:pPr>
        <w:numPr>
          <w:ilvl w:val="1"/>
          <w:numId w:val="1021"/>
        </w:numPr>
        <w:pStyle w:val="Compact"/>
      </w:pPr>
      <w:r>
        <w:t xml:space="preserve">Узел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 </w:t>
      </w:r>
      <w:r>
        <w:t xml:space="preserve">(подсеть 2):</w:t>
      </w:r>
    </w:p>
    <w:p>
      <w:pPr>
        <w:numPr>
          <w:ilvl w:val="2"/>
          <w:numId w:val="1025"/>
        </w:numPr>
        <w:pStyle w:val="Compact"/>
      </w:pPr>
      <w:r>
        <w:t xml:space="preserve">IPv4: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, шлюз:</w:t>
      </w:r>
      <w:r>
        <w:t xml:space="preserve"> </w:t>
      </w:r>
      <w:r>
        <w:rPr>
          <w:rStyle w:val="VerbatimChar"/>
        </w:rPr>
        <w:t xml:space="preserve">10.10.1.17</w:t>
      </w:r>
      <w:r>
        <w:br/>
      </w:r>
    </w:p>
    <w:p>
      <w:pPr>
        <w:numPr>
          <w:ilvl w:val="2"/>
          <w:numId w:val="1025"/>
        </w:numPr>
        <w:pStyle w:val="Compact"/>
      </w:pPr>
      <w:r>
        <w:t xml:space="preserve">IPv6: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, шлюз по умолчанию формируется через Router Advertisement</w:t>
      </w:r>
    </w:p>
    <w:p>
      <w:pPr>
        <w:numPr>
          <w:ilvl w:val="0"/>
          <w:numId w:val="1016"/>
        </w:numPr>
      </w:pPr>
      <w:r>
        <w:t xml:space="preserve">На оконечных устройствах выполнена проверка текущей конфигурации IPv4 и IPv6. Подтверждено, что: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PC1</w:t>
      </w:r>
      <w:r>
        <w:t xml:space="preserve"> </w:t>
      </w:r>
      <w:r>
        <w:t xml:space="preserve">использует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а также имеет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 </w:t>
      </w:r>
      <w:r>
        <w:t xml:space="preserve">и link-local адрес.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PC2</w:t>
      </w:r>
      <w:r>
        <w:t xml:space="preserve"> </w:t>
      </w:r>
      <w:r>
        <w:t xml:space="preserve">использует IPv4-адрес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а также имеет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 </w:t>
      </w:r>
      <w:r>
        <w:t xml:space="preserve">и link-local адрес.</w:t>
      </w:r>
    </w:p>
    <w:p>
      <w:pPr>
        <w:numPr>
          <w:ilvl w:val="0"/>
          <w:numId w:val="1000"/>
        </w:numPr>
        <w:pStyle w:val="CaptionedFigure"/>
      </w:pPr>
      <w:bookmarkStart w:id="121" w:name="fig:622"/>
      <w:r>
        <w:drawing>
          <wp:inline>
            <wp:extent cx="5186722" cy="4018749"/>
            <wp:effectExtent b="0" l="0" r="0" t="0"/>
            <wp:docPr descr="Рис. 22: Проверка конфигурации IPv4 и IPv6 на узле PC1" title="" id="119" name="Picture"/>
            <a:graphic>
              <a:graphicData uri="http://schemas.openxmlformats.org/drawingml/2006/picture">
                <pic:pic>
                  <pic:nvPicPr>
                    <pic:cNvPr descr="Screenshot_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401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numPr>
          <w:ilvl w:val="0"/>
          <w:numId w:val="1000"/>
        </w:numPr>
        <w:pStyle w:val="ImageCaption"/>
      </w:pPr>
      <w:r>
        <w:t xml:space="preserve">Рис. 22: Проверка конфигурации IPv4 и IPv6 на узле PC1</w:t>
      </w:r>
    </w:p>
    <w:p>
      <w:pPr>
        <w:numPr>
          <w:ilvl w:val="0"/>
          <w:numId w:val="1000"/>
        </w:numPr>
        <w:pStyle w:val="CaptionedFigure"/>
      </w:pPr>
      <w:bookmarkStart w:id="125" w:name="fig:623"/>
      <w:r>
        <w:drawing>
          <wp:inline>
            <wp:extent cx="4817889" cy="4003381"/>
            <wp:effectExtent b="0" l="0" r="0" t="0"/>
            <wp:docPr descr="Рис. 23: Проверка конфигурации IPv4 и IPv6 на узле PC2" title="" id="123" name="Picture"/>
            <a:graphic>
              <a:graphicData uri="http://schemas.openxmlformats.org/drawingml/2006/picture">
                <pic:pic>
                  <pic:nvPicPr>
                    <pic:cNvPr descr="Screenshot_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400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numPr>
          <w:ilvl w:val="0"/>
          <w:numId w:val="1000"/>
        </w:numPr>
        <w:pStyle w:val="ImageCaption"/>
      </w:pPr>
      <w:r>
        <w:t xml:space="preserve">Рис. 23: Проверка конфигурации IPv4 и IPv6 на узле PC2</w:t>
      </w:r>
    </w:p>
    <w:p>
      <w:pPr>
        <w:numPr>
          <w:ilvl w:val="0"/>
          <w:numId w:val="1016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выполнена настройка IP-адресации интерфейсов для обеих подсетей. На каждом интерфейсе задан минимальный адрес узла в соответствующей IPv4-подсети и минимальный IPv6-адрес для маршрутизатора в соответствующем префиксе. Дополнительно настроена рассылка Router Advertisement для IPv6, что обеспечивает автоматическое получение маршрута по умолчанию на оконечных узлах.</w:t>
      </w:r>
    </w:p>
    <w:p>
      <w:pPr>
        <w:numPr>
          <w:ilvl w:val="0"/>
          <w:numId w:val="1000"/>
        </w:numPr>
      </w:pPr>
      <w:r>
        <w:t xml:space="preserve">В рамках настройки:</w:t>
      </w:r>
    </w:p>
    <w:p>
      <w:pPr>
        <w:numPr>
          <w:ilvl w:val="1"/>
          <w:numId w:val="1027"/>
        </w:numPr>
        <w:pStyle w:val="Compac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а также включена рассылка префикса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;</w:t>
      </w:r>
    </w:p>
    <w:p>
      <w:pPr>
        <w:numPr>
          <w:ilvl w:val="1"/>
          <w:numId w:val="1027"/>
        </w:numPr>
        <w:pStyle w:val="Compac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, а также включена рассылка префикса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</w:t>
      </w:r>
      <w:r>
        <w:t xml:space="preserve"> </w:t>
      </w:r>
      <w:r>
        <w:t xml:space="preserve">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129" w:name="fig:624"/>
      <w:r>
        <w:drawing>
          <wp:inline>
            <wp:extent cx="5334000" cy="3411954"/>
            <wp:effectExtent b="0" l="0" r="0" t="0"/>
            <wp:docPr descr="Рис. 24: Настройка IPv4/IPv6-адресов и Router Advertisement на маршрутизаторе VyOS" title="" id="127" name="Picture"/>
            <a:graphic>
              <a:graphicData uri="http://schemas.openxmlformats.org/drawingml/2006/picture">
                <pic:pic>
                  <pic:nvPicPr>
                    <pic:cNvPr descr="Screenshot_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numPr>
          <w:ilvl w:val="0"/>
          <w:numId w:val="1000"/>
        </w:numPr>
        <w:pStyle w:val="ImageCaption"/>
      </w:pPr>
      <w:r>
        <w:t xml:space="preserve">Рис. 24: Настройка IPv4/IPv6-адресов и Router Advertisement на маршрутизаторе VyOS</w:t>
      </w:r>
    </w:p>
    <w:p>
      <w:pPr>
        <w:numPr>
          <w:ilvl w:val="0"/>
          <w:numId w:val="1016"/>
        </w:numPr>
      </w:pPr>
      <w:r>
        <w:t xml:space="preserve">Выполнена проверка связности между устройствами подсети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проверке IPv4-связности установлено, что узел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успешно отправляет ICMP-эхо-запросы на</w:t>
      </w:r>
      <w:r>
        <w:t xml:space="preserve"> </w:t>
      </w:r>
      <w:r>
        <w:rPr>
          <w:bCs/>
          <w:b/>
        </w:rPr>
        <w:t xml:space="preserve">PC2</w:t>
      </w:r>
      <w:r>
        <w:t xml:space="preserve">. Результаты трассировки подтверждают прохождение трафика через шлюз подсети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после чего достигается целевой узел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 Наличие промежуточного перехода указывает на корректную работу маршрутизатора как устройства, разделяющего подсети.</w:t>
      </w:r>
    </w:p>
    <w:p>
      <w:pPr>
        <w:numPr>
          <w:ilvl w:val="0"/>
          <w:numId w:val="1000"/>
        </w:numPr>
        <w:pStyle w:val="CaptionedFigure"/>
      </w:pPr>
      <w:bookmarkStart w:id="133" w:name="fig:625"/>
      <w:r>
        <w:drawing>
          <wp:inline>
            <wp:extent cx="5334000" cy="2570135"/>
            <wp:effectExtent b="0" l="0" r="0" t="0"/>
            <wp:docPr descr="Рис. 25: Проверка IPv4-связности между PC1 и PC2" title="" id="131" name="Picture"/>
            <a:graphic>
              <a:graphicData uri="http://schemas.openxmlformats.org/drawingml/2006/picture">
                <pic:pic>
                  <pic:nvPicPr>
                    <pic:cNvPr descr="Screenshot_2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numPr>
          <w:ilvl w:val="0"/>
          <w:numId w:val="1000"/>
        </w:numPr>
        <w:pStyle w:val="ImageCaption"/>
      </w:pPr>
      <w:r>
        <w:t xml:space="preserve">Рис. 25: Проверка IPv4-связности между PC1 и PC2</w:t>
      </w:r>
    </w:p>
    <w:p>
      <w:pPr>
        <w:numPr>
          <w:ilvl w:val="0"/>
          <w:numId w:val="1000"/>
        </w:numPr>
      </w:pPr>
      <w:r>
        <w:t xml:space="preserve">При проверке IPv6-связности установлено, что узел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успешно отправляет ICMPv6-эхо-запросы на узел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(адрес</w:t>
      </w:r>
      <w:r>
        <w:t xml:space="preserve"> </w:t>
      </w:r>
      <w:r>
        <w:rPr>
          <w:rStyle w:val="VerbatimChar"/>
        </w:rPr>
        <w:t xml:space="preserve">2001:db8:1:1::a</w:t>
      </w:r>
      <w:r>
        <w:t xml:space="preserve">). Трассировка маршрута показывает прохождение пакетов через IPv6-адрес маршрутизатора в подсети 2 (</w:t>
      </w:r>
      <w:r>
        <w:rPr>
          <w:rStyle w:val="VerbatimChar"/>
        </w:rPr>
        <w:t xml:space="preserve">2001:db8:1:4::1</w:t>
      </w:r>
      <w:r>
        <w:t xml:space="preserve">) с последующей доставкой до узла назначения в подсети 1, что подтверждает корректную маршрутизацию IPv6 между сегментами.</w:t>
      </w:r>
    </w:p>
    <w:p>
      <w:pPr>
        <w:numPr>
          <w:ilvl w:val="0"/>
          <w:numId w:val="1000"/>
        </w:numPr>
        <w:pStyle w:val="CaptionedFigure"/>
      </w:pPr>
      <w:bookmarkStart w:id="137" w:name="fig:626"/>
      <w:r>
        <w:drawing>
          <wp:inline>
            <wp:extent cx="4948517" cy="3127401"/>
            <wp:effectExtent b="0" l="0" r="0" t="0"/>
            <wp:docPr descr="Рис. 26: Проверка IPv6-связности между PC2 и PC1" title="" id="135" name="Picture"/>
            <a:graphic>
              <a:graphicData uri="http://schemas.openxmlformats.org/drawingml/2006/picture">
                <pic:pic>
                  <pic:nvPicPr>
                    <pic:cNvPr descr="Screenshot_2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312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numPr>
          <w:ilvl w:val="0"/>
          <w:numId w:val="1000"/>
        </w:numPr>
        <w:pStyle w:val="ImageCaption"/>
      </w:pPr>
      <w:r>
        <w:t xml:space="preserve">Рис. 26: Проверка IPv6-связности между PC2 и PC1</w:t>
      </w:r>
    </w:p>
    <w:bookmarkEnd w:id="138"/>
    <w:bookmarkEnd w:id="139"/>
    <w:bookmarkStart w:id="14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адресного планирования и разбиения сетей IPv4 и IPv6 на подсети. Для IPv4-сетей отработаны методы классического разбиения с использованием переменной длины префикса (VLSM), что позволило получить подсети с заданным числом узлов и рационально использовать адресное пространство. Определены основные характеристики подсетей, включая адрес сети, маску, диапазон адресов узлов и широковещательный адрес.</w:t>
      </w:r>
    </w:p>
    <w:p>
      <w:pPr>
        <w:pStyle w:val="BodyText"/>
      </w:pPr>
      <w:r>
        <w:t xml:space="preserve">При работе с IPv6-адресацией рассмотрены особенности структуры IPv6-адреса, роль префикса, идентификатора подсети и идентификатора интерфейса. Выполнено разбиение IPv6-сетей различной длины префикса, проанализированы как рекомендуемые на практике способы адресации, так и формально допустимые, но ограниченно применяемые варианты.</w:t>
      </w:r>
    </w:p>
    <w:p>
      <w:pPr>
        <w:pStyle w:val="BodyText"/>
      </w:pPr>
      <w:r>
        <w:t xml:space="preserve">Полученные результаты позволили закрепить навыки анализа адресного пространства, обоснованного выбора длины префикса и понимания различий между подходами к адресации в IPv4 и IPv6. Работа способствует формированию практических умений проектирования сетей с эффективным использованием адресных ресурсов.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36" Target="media/rId36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Элсаиед Адел</dc:creator>
  <dc:language>ru-RU</dc:language>
  <cp:keywords/>
  <dcterms:created xsi:type="dcterms:W3CDTF">2026-01-21T10:04:13Z</dcterms:created>
  <dcterms:modified xsi:type="dcterms:W3CDTF">2026-01-21T10:04:13Z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Адресация IPv4 и IPv6. Двойной стек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