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7.png" ContentType="image/png"/>
  <Override PartName="/word/media/rId33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экспериментального</w:t>
      </w:r>
      <w:r>
        <w:t xml:space="preserve"> </w:t>
      </w:r>
      <w:r>
        <w:t xml:space="preserve">стенда</w:t>
      </w:r>
      <w:r>
        <w:t xml:space="preserve"> </w:t>
      </w:r>
      <w:r>
        <w:t xml:space="preserve">GNS3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46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45" w:name="X8811cc16769efd057308ead2228506fbb86cc0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первичная настройка среды моделирования GNS3</w:t>
      </w:r>
    </w:p>
    <w:p>
      <w:pPr>
        <w:numPr>
          <w:ilvl w:val="0"/>
          <w:numId w:val="1001"/>
        </w:numPr>
      </w:pPr>
      <w:r>
        <w:t xml:space="preserve">В рамках выполнения лабораторной работы выполнена установка программного комплекса</w:t>
      </w:r>
      <w:r>
        <w:t xml:space="preserve"> </w:t>
      </w:r>
      <w:r>
        <w:rPr>
          <w:bCs/>
          <w:b/>
        </w:rPr>
        <w:t xml:space="preserve">GNS3-all-in-one</w:t>
      </w:r>
      <w:r>
        <w:t xml:space="preserve"> </w:t>
      </w:r>
      <w:r>
        <w:t xml:space="preserve">на рабочей станции, а также развертывание виртуальной машины</w:t>
      </w:r>
      <w:r>
        <w:t xml:space="preserve"> </w:t>
      </w:r>
      <w:r>
        <w:rPr>
          <w:bCs/>
          <w:b/>
        </w:rPr>
        <w:t xml:space="preserve">GNS3 VM</w:t>
      </w:r>
      <w:r>
        <w:t xml:space="preserve"> </w:t>
      </w:r>
      <w:r>
        <w:t xml:space="preserve">в среде виртуализации VMware. После запуска виртуальной машины произведена проверка корректности её инициализации и загрузки системных компонентов.</w:t>
      </w:r>
    </w:p>
    <w:p>
      <w:pPr>
        <w:numPr>
          <w:ilvl w:val="0"/>
          <w:numId w:val="1000"/>
        </w:numPr>
      </w:pPr>
      <w:r>
        <w:t xml:space="preserve">В ходе проверки установлено, что сервер GNS3 успешно запущен, служба доступна по сетевому адресу</w:t>
      </w:r>
      <w:r>
        <w:t xml:space="preserve"> </w:t>
      </w:r>
      <w:r>
        <w:rPr>
          <w:rStyle w:val="VerbatimChar"/>
        </w:rPr>
        <w:t xml:space="preserve">192.168.133.131</w:t>
      </w:r>
      <w:r>
        <w:t xml:space="preserve"> </w:t>
      </w:r>
      <w:r>
        <w:t xml:space="preserve">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поддержка аппаратной виртуализации KVM активна, версия QEMU соответствует требованиям, время работы системы фиксируется корректно.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633068"/>
            <wp:effectExtent b="0" l="0" r="0" t="0"/>
            <wp:docPr descr="Рис. 1: Проверка запуска и параметров GNS3 VM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запуска и параметров GNS3 VM</w:t>
      </w:r>
    </w:p>
    <w:p>
      <w:pPr>
        <w:numPr>
          <w:ilvl w:val="0"/>
          <w:numId w:val="1001"/>
        </w:numPr>
      </w:pPr>
      <w:r>
        <w:t xml:space="preserve">После успешного запуска GNS3 VM выполнена настройка подключения клиента GNS3 к удалённому контроллеру. В мастере первоначальной настройки выбран тип подключения</w:t>
      </w:r>
      <w:r>
        <w:t xml:space="preserve"> </w:t>
      </w:r>
      <w:r>
        <w:rPr>
          <w:bCs/>
          <w:b/>
        </w:rPr>
        <w:t xml:space="preserve">Remote</w:t>
      </w:r>
      <w:r>
        <w:t xml:space="preserve">, в качестве хоста указан IP-адрес виртуальной машины</w:t>
      </w:r>
      <w:r>
        <w:t xml:space="preserve"> </w:t>
      </w:r>
      <w:r>
        <w:rPr>
          <w:rStyle w:val="VerbatimChar"/>
        </w:rPr>
        <w:t xml:space="preserve">192.168.133.131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пользователь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Настройка завершена без ошибок, что подтверждает корректное взаимодействие клиентской и серверной частей GNS3.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087905" cy="3304134"/>
            <wp:effectExtent b="0" l="0" r="0" t="0"/>
            <wp:docPr descr="Рис. 2: Настройка подключения к удалённому контроллеру GNS3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05" cy="3304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подключения к удалённому контроллеру GNS3</w:t>
      </w:r>
    </w:p>
    <w:p>
      <w:pPr>
        <w:numPr>
          <w:ilvl w:val="0"/>
          <w:numId w:val="1001"/>
        </w:numPr>
      </w:pPr>
      <w:r>
        <w:t xml:space="preserve">В соответствии с заданием выполнен импорт образа маршрутизатора</w:t>
      </w:r>
      <w:r>
        <w:t xml:space="preserve"> </w:t>
      </w:r>
      <w:r>
        <w:rPr>
          <w:bCs/>
          <w:b/>
        </w:rPr>
        <w:t xml:space="preserve">FRRouting (FRR)</w:t>
      </w:r>
      <w:r>
        <w:t xml:space="preserve"> </w:t>
      </w:r>
      <w:r>
        <w:t xml:space="preserve">в среду GNS3. В мастере установки сетевого устройства выбран доступный образ версии</w:t>
      </w:r>
      <w:r>
        <w:t xml:space="preserve"> </w:t>
      </w:r>
      <w:r>
        <w:rPr>
          <w:bCs/>
          <w:b/>
        </w:rPr>
        <w:t xml:space="preserve">FRR 8.2.2</w:t>
      </w:r>
      <w:r>
        <w:t xml:space="preserve">, который был обнаружен локально и отмечен как готовый к установке. Отсутствующие версии образов в процессе выполнения задания не использовались.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469268"/>
            <wp:effectExtent b="0" l="0" r="0" t="0"/>
            <wp:docPr descr="Рис. 3: Импорт образа маршрутизатора FRR в GNS3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Импорт образа маршрутизатора FRR в GNS3</w:t>
      </w:r>
    </w:p>
    <w:p>
      <w:pPr>
        <w:numPr>
          <w:ilvl w:val="0"/>
          <w:numId w:val="1001"/>
        </w:numPr>
      </w:pPr>
      <w:r>
        <w:t xml:space="preserve">После установки образа FRR выполнен запуск тестового экземпляра маршрутизатора. В процессе загрузки зафиксировано корректное монтирование файловых систем, инициализация сетевых сервисов и запуск службы SSH. По завершении загрузки предоставлен доступ к командной строке FRR, что подтверждает успешную установку и работоспособность маршрутизатора.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401850"/>
            <wp:effectExtent b="0" l="0" r="0" t="0"/>
            <wp:docPr descr="Рис. 4: Успешный запуск маршрутизатора FRR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Успешный запуск маршрутизатора FRR</w:t>
      </w:r>
    </w:p>
    <w:p>
      <w:pPr>
        <w:numPr>
          <w:ilvl w:val="0"/>
          <w:numId w:val="1001"/>
        </w:numPr>
      </w:pPr>
      <w:r>
        <w:t xml:space="preserve">Далее выполнен импорт образа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в среду GNS3. В списке доступных версий выбран образ</w:t>
      </w:r>
      <w:r>
        <w:t xml:space="preserve"> </w:t>
      </w:r>
      <w:r>
        <w:rPr>
          <w:bCs/>
          <w:b/>
        </w:rPr>
        <w:t xml:space="preserve">VyOS 1.3.3</w:t>
      </w:r>
      <w:r>
        <w:t xml:space="preserve">, который был найден локально и отмечен системой как готовый к установке. Процедура импорта завершена без ошибок.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478060"/>
            <wp:effectExtent b="0" l="0" r="0" t="0"/>
            <wp:docPr descr="Рис. 5: Импорт образа маршрутизатора VyOS в GNS3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8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Импорт образа маршрутизатора VyOS в GNS3</w:t>
      </w:r>
    </w:p>
    <w:p>
      <w:pPr>
        <w:numPr>
          <w:ilvl w:val="0"/>
          <w:numId w:val="1001"/>
        </w:numPr>
      </w:pPr>
      <w:r>
        <w:t xml:space="preserve">После установки образа выполнен запуск виртуального маршрутизатора VyOS. В процессе загрузки зафиксировано обнаружение виртуализированной среды, корректная инициализация ядра Linux, сетевых подсистем и системных служб. По завершении загрузки система перешла в режим ожидания аутентификации пользователя, что свидетельствует о штатной работе маршрутизатора.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443144"/>
            <wp:effectExtent b="0" l="0" r="0" t="0"/>
            <wp:docPr descr="Рис. 6: Успешный запуск маршрутизатора VyOS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3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Успешный запуск маршрутизатора VyOS</w:t>
      </w:r>
    </w:p>
    <w:bookmarkEnd w:id="45"/>
    <w:bookmarkEnd w:id="46"/>
    <w:bookmarkStart w:id="47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успешно установлена и настроена среда моделирования GNS3. Проверена корректность запуска GNS3 VM и её взаимодействие с клиентским приложением. В систему импортированы и протестированы образы маршрутизаторов FRR и VyOS, которые корректно запускаются и готовы к дальнейшему использованию при моделировании и настройке сетевых топологий.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Элсаиед Адел</dc:creator>
  <dc:language>ru-RU</dc:language>
  <cp:keywords/>
  <dcterms:created xsi:type="dcterms:W3CDTF">2026-01-19T12:20:05Z</dcterms:created>
  <dcterms:modified xsi:type="dcterms:W3CDTF">2026-01-19T12:20:05Z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onofont">
    <vt:lpwstr>IBM Plex Mono</vt:lpwstr>
  </property>
  <property fmtid="{D5CDD505-2E9C-101B-9397-08002B2CF9AE}" pid="55" name="monofontoptions">
    <vt:lpwstr>Scale=MatchLowercase,Scale=0.94,FakeStretch=0.9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papersize">
    <vt:lpwstr>a</vt:lpwstr>
  </property>
  <property fmtid="{D5CDD505-2E9C-101B-9397-08002B2CF9AE}" pid="60" name="polyglossia-lang">
    <vt:lpwstr/>
  </property>
  <property fmtid="{D5CDD505-2E9C-101B-9397-08002B2CF9AE}" pid="61" name="polyglossia-otherlangs">
    <vt:lpwstr/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romanfont">
    <vt:lpwstr>IBM Plex Serif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IBM Plex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Подготовка экспериментального стенда GNS3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