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9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3" w:name="Xe1a9ae43890959f035b33078fc81a5312d3a7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на базе коммутатора в GNS3</w:t>
      </w:r>
    </w:p>
    <w:p>
      <w:pPr>
        <w:numPr>
          <w:ilvl w:val="0"/>
          <w:numId w:val="1001"/>
        </w:numPr>
      </w:pPr>
      <w:r>
        <w:t xml:space="preserve">Запущены GNS3 VM и программный комплекс GNS3, после чего создан новый проект для выполнения лабораторной работы.</w:t>
      </w:r>
    </w:p>
    <w:p>
      <w:pPr>
        <w:numPr>
          <w:ilvl w:val="0"/>
          <w:numId w:val="1001"/>
        </w:numPr>
      </w:pPr>
      <w:r>
        <w:t xml:space="preserve">В рабочей области GNS3 размещены следующие сетевые устройства:</w:t>
      </w:r>
    </w:p>
    <w:p>
      <w:pPr>
        <w:numPr>
          <w:ilvl w:val="1"/>
          <w:numId w:val="1002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02"/>
        </w:numPr>
        <w:pStyle w:val="Compact"/>
      </w:pPr>
      <w:r>
        <w:t xml:space="preserve">два виртуальных оконечных устройства типа VPCS.</w:t>
      </w:r>
    </w:p>
    <w:p>
      <w:pPr>
        <w:numPr>
          <w:ilvl w:val="0"/>
          <w:numId w:val="1000"/>
        </w:numPr>
      </w:pPr>
      <w:r>
        <w:t xml:space="preserve">Коммутатор переименован в</w:t>
      </w:r>
      <w:r>
        <w:t xml:space="preserve"> </w:t>
      </w:r>
      <w:r>
        <w:rPr>
          <w:rStyle w:val="VerbatimChar"/>
        </w:rPr>
        <w:t xml:space="preserve">msk-elsaiedadel-sw-01</w:t>
      </w:r>
      <w:r>
        <w:t xml:space="preserve">, а оконечные устройства — в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.</w:t>
      </w:r>
      <w:r>
        <w:br/>
      </w:r>
      <w:r>
        <w:t xml:space="preserve">После переименования выполнено соединение VPCS с коммутатором. Для удобства анализа включено отображение обозначений интерфейсов соединения.</w:t>
      </w:r>
    </w:p>
    <w:p>
      <w:pPr>
        <w:numPr>
          <w:ilvl w:val="0"/>
          <w:numId w:val="1000"/>
        </w:numPr>
        <w:pStyle w:val="CaptionedFigure"/>
      </w:pPr>
      <w:bookmarkStart w:id="24" w:name="fig:011"/>
      <w:r>
        <w:drawing>
          <wp:inline>
            <wp:extent cx="4541263" cy="1713539"/>
            <wp:effectExtent b="0" l="0" r="0" t="0"/>
            <wp:docPr descr="Рис. 1: Топология простейшей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17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простейшей сети в GNS3</w:t>
      </w:r>
    </w:p>
    <w:p>
      <w:pPr>
        <w:numPr>
          <w:ilvl w:val="0"/>
          <w:numId w:val="1001"/>
        </w:numPr>
      </w:pPr>
      <w:r>
        <w:t xml:space="preserve">После запуска первого оконечного устройства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открыт его терминал Console. Для ознакомления с доступными командами VPCS выполнен вывод справочной информации с помощью команды</w:t>
      </w:r>
      <w:r>
        <w:t xml:space="preserve"> </w:t>
      </w:r>
      <w:r>
        <w:rPr>
          <w:rStyle w:val="VerbatimChar"/>
        </w:rPr>
        <w:t xml:space="preserve">?</w:t>
      </w:r>
      <w:r>
        <w:t xml:space="preserve">, что позволило изучить синтаксис команд настройки IP-параметров и диагностики сети.</w:t>
      </w:r>
    </w:p>
    <w:p>
      <w:pPr>
        <w:numPr>
          <w:ilvl w:val="0"/>
          <w:numId w:val="1000"/>
        </w:numPr>
        <w:pStyle w:val="CaptionedFigure"/>
      </w:pPr>
      <w:bookmarkStart w:id="28" w:name="fig:012"/>
      <w:r>
        <w:drawing>
          <wp:inline>
            <wp:extent cx="5334000" cy="4385192"/>
            <wp:effectExtent b="0" l="0" r="0" t="0"/>
            <wp:docPr descr="Рис. 2: Просмотр справки команд VPC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справки команд VPCS</w:t>
      </w:r>
    </w:p>
    <w:p>
      <w:pPr>
        <w:numPr>
          <w:ilvl w:val="0"/>
          <w:numId w:val="1001"/>
        </w:numPr>
      </w:pPr>
      <w:r>
        <w:t xml:space="preserve">На втором оконечном устройстве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 </w:t>
      </w:r>
      <w:r>
        <w:t xml:space="preserve">выполнена настройка сетевых параметров. Задан IP-адрес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и шлюзом по умолчанию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После проверки корректности назначения адреса конфигурация сохранена в стартовый файл VPCS.</w:t>
      </w:r>
    </w:p>
    <w:p>
      <w:pPr>
        <w:numPr>
          <w:ilvl w:val="0"/>
          <w:numId w:val="1001"/>
        </w:numPr>
      </w:pPr>
      <w:r>
        <w:t xml:space="preserve">Для проверки работоспособности сети и корректности адресации выполнена проверка сетевой связности между узлами. В результате получены ответы без потерь пакетов, что подтверждает наличие сетевого соединения между оконечными устройствами.</w:t>
      </w:r>
    </w:p>
    <w:p>
      <w:pPr>
        <w:numPr>
          <w:ilvl w:val="0"/>
          <w:numId w:val="1000"/>
        </w:numPr>
        <w:pStyle w:val="CaptionedFigure"/>
      </w:pPr>
      <w:bookmarkStart w:id="32" w:name="fig:013"/>
      <w:r>
        <w:drawing>
          <wp:inline>
            <wp:extent cx="5334000" cy="3886619"/>
            <wp:effectExtent b="0" l="0" r="0" t="0"/>
            <wp:docPr descr="Рис. 3: Проверка сетевой связности между PC1 и PC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сетевой связности между PC1 и PC2</w:t>
      </w:r>
    </w:p>
    <w:p>
      <w:pPr>
        <w:numPr>
          <w:ilvl w:val="0"/>
          <w:numId w:val="1001"/>
        </w:numPr>
      </w:pPr>
      <w:r>
        <w:t xml:space="preserve">По завершении эксперимента все узлы в проекте были корректно остановлены с использованием команды Stop all nodes в меню управления GNS3.</w:t>
      </w:r>
    </w:p>
    <w:bookmarkEnd w:id="33"/>
    <w:bookmarkStart w:id="50" w:name="X9faca263050bb2847efea64ebf2233d4c22da8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трафика в GNS3 посредством Wireshark</w:t>
      </w:r>
    </w:p>
    <w:p>
      <w:pPr>
        <w:numPr>
          <w:ilvl w:val="0"/>
          <w:numId w:val="1003"/>
        </w:numPr>
      </w:pPr>
      <w:r>
        <w:t xml:space="preserve">На соединении между оконечным устройством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и Ethernet-коммутатором был запущен захват трафика. Для этого в рабочей области GNS3 выполнен щелчок правой кнопкой мыши по линии соединения и выбран пункт</w:t>
      </w:r>
      <w:r>
        <w:t xml:space="preserve"> </w:t>
      </w:r>
      <w:r>
        <w:rPr>
          <w:bCs/>
          <w:b/>
        </w:rPr>
        <w:t xml:space="preserve">Start capture</w:t>
      </w:r>
      <w:r>
        <w:t xml:space="preserve">. В результате был автоматически запущен анализатор Wireshark, а на соединении в проекте появился индикатор активного захвата пакетов.</w:t>
      </w:r>
    </w:p>
    <w:p>
      <w:pPr>
        <w:numPr>
          <w:ilvl w:val="0"/>
          <w:numId w:val="1003"/>
        </w:numPr>
      </w:pPr>
      <w:r>
        <w:t xml:space="preserve">После запуска захвата трафика в проекте GNS3 выполнен запуск всех узлов с использованием команды</w:t>
      </w:r>
      <w:r>
        <w:t xml:space="preserve"> </w:t>
      </w:r>
      <w:r>
        <w:rPr>
          <w:bCs/>
          <w:b/>
        </w:rPr>
        <w:t xml:space="preserve">Start/Resume all nodes</w:t>
      </w:r>
      <w:r>
        <w:t xml:space="preserve">. В окне Wireshark зафиксированы ARP-сообщения, инициированные оконечными устройствами при проверке и объявлении собственных IP-адресов. Наблюдаются Gratuitous ARP-запросы, рассылаемые в широковещательном режиме для обнаружения возможных конфликтов IP-адресов в сети.</w:t>
      </w:r>
    </w:p>
    <w:p>
      <w:pPr>
        <w:numPr>
          <w:ilvl w:val="0"/>
          <w:numId w:val="1000"/>
        </w:numPr>
        <w:pStyle w:val="CaptionedFigure"/>
      </w:pPr>
      <w:bookmarkStart w:id="37" w:name="fig:014"/>
      <w:r>
        <w:drawing>
          <wp:inline>
            <wp:extent cx="5334000" cy="3759782"/>
            <wp:effectExtent b="0" l="0" r="0" t="0"/>
            <wp:docPr descr="Рис. 4: Анализ ARP-трафика в Wireshark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Анализ ARP-трафика в Wireshark</w:t>
      </w:r>
    </w:p>
    <w:p>
      <w:pPr>
        <w:numPr>
          <w:ilvl w:val="0"/>
          <w:numId w:val="1000"/>
        </w:numPr>
      </w:pPr>
      <w:r>
        <w:t xml:space="preserve">В расшифровке ARP-пакетов отображается MAC-адрес отправителя, IP-адрес источника и целевого узла, а также факт использования широковещательного MAC-адреса назначения, что соответствует стандартному механизму работы протокола ARP.</w:t>
      </w:r>
    </w:p>
    <w:p>
      <w:pPr>
        <w:numPr>
          <w:ilvl w:val="0"/>
          <w:numId w:val="1003"/>
        </w:numPr>
      </w:pPr>
      <w:r>
        <w:t xml:space="preserve">В терминале устройства</w:t>
      </w:r>
      <w:r>
        <w:t xml:space="preserve"> </w:t>
      </w:r>
      <w:r>
        <w:rPr>
          <w:rStyle w:val="VerbatimChar"/>
        </w:rPr>
        <w:t xml:space="preserve">PC2-elsaiedadel</w:t>
      </w:r>
      <w:r>
        <w:t xml:space="preserve"> </w:t>
      </w:r>
      <w:r>
        <w:t xml:space="preserve">выполнен просмотр справки по параметрам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после чего сформирован одиночный эхо-запрос в ICMP-режиме к узлу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. В окне Wireshark зафиксированы ICMP Echo Request и Echo Reply сообщения.</w:t>
      </w:r>
    </w:p>
    <w:p>
      <w:pPr>
        <w:numPr>
          <w:ilvl w:val="0"/>
          <w:numId w:val="1000"/>
        </w:numPr>
        <w:pStyle w:val="CaptionedFigure"/>
      </w:pPr>
      <w:bookmarkStart w:id="41" w:name="fig:015"/>
      <w:r>
        <w:drawing>
          <wp:inline>
            <wp:extent cx="5334000" cy="2315882"/>
            <wp:effectExtent b="0" l="0" r="0" t="0"/>
            <wp:docPr descr="Рис. 5: ICMP эхо-запрос и ответ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ICMP эхо-запрос и ответ</w:t>
      </w:r>
    </w:p>
    <w:p>
      <w:pPr>
        <w:numPr>
          <w:ilvl w:val="0"/>
          <w:numId w:val="1000"/>
        </w:numPr>
      </w:pPr>
      <w:r>
        <w:t xml:space="preserve">Анализ ICMP-пакетов показал, что запрос был отправлен от IP-адреса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а в ответном пакете корректно возвращён Echo Reply, что подтверждает работоспособность сетевого взаимодействия.</w:t>
      </w:r>
    </w:p>
    <w:p>
      <w:pPr>
        <w:numPr>
          <w:ilvl w:val="0"/>
          <w:numId w:val="1003"/>
        </w:numPr>
      </w:pPr>
      <w:r>
        <w:t xml:space="preserve">Далее выполнен одиночный эхо-запрос в UDP-режиме к узлу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. В результате в Wireshark зафиксирован UDP-пакет, содержащий эхо-данные, переданные на порт назначения 7, который используется службой Echo.</w:t>
      </w:r>
    </w:p>
    <w:p>
      <w:pPr>
        <w:numPr>
          <w:ilvl w:val="0"/>
          <w:numId w:val="1000"/>
        </w:numPr>
        <w:pStyle w:val="CaptionedFigure"/>
      </w:pPr>
      <w:bookmarkStart w:id="45" w:name="fig:016"/>
      <w:r>
        <w:drawing>
          <wp:inline>
            <wp:extent cx="5334000" cy="4289580"/>
            <wp:effectExtent b="0" l="0" r="0" t="0"/>
            <wp:docPr descr="Рис. 6: Эхо-запрос в UDP-режиме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Эхо-запрос в UDP-режиме</w:t>
      </w:r>
    </w:p>
    <w:p>
      <w:pPr>
        <w:numPr>
          <w:ilvl w:val="0"/>
          <w:numId w:val="1000"/>
        </w:numPr>
      </w:pPr>
      <w:r>
        <w:t xml:space="preserve">В анализе пакета отображаются заголовки протоколов Ethernet, IPv4 и UDP, а также полезная нагрузка, содержащая данные эхо-запроса.</w:t>
      </w:r>
    </w:p>
    <w:p>
      <w:pPr>
        <w:numPr>
          <w:ilvl w:val="0"/>
          <w:numId w:val="1003"/>
        </w:numPr>
      </w:pPr>
      <w:r>
        <w:t xml:space="preserve">После этого выполнен одиночный эхо-запрос в TCP-режиме. В окне Wireshark зафиксирована последовательность TCP-сегментов, включающая установление соединения (SYN, SYN-ACK, ACK), передачу данных и завершение обмена.</w:t>
      </w:r>
    </w:p>
    <w:p>
      <w:pPr>
        <w:numPr>
          <w:ilvl w:val="0"/>
          <w:numId w:val="1000"/>
        </w:numPr>
        <w:pStyle w:val="CaptionedFigure"/>
      </w:pPr>
      <w:bookmarkStart w:id="49" w:name="fig:017"/>
      <w:r>
        <w:drawing>
          <wp:inline>
            <wp:extent cx="5334000" cy="3969737"/>
            <wp:effectExtent b="0" l="0" r="0" t="0"/>
            <wp:docPr descr="Рис. 7: Эхо-запрос в TCP-режим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Эхо-запрос в TCP-режиме</w:t>
      </w:r>
    </w:p>
    <w:p>
      <w:pPr>
        <w:numPr>
          <w:ilvl w:val="0"/>
          <w:numId w:val="1000"/>
        </w:numPr>
      </w:pPr>
      <w:r>
        <w:t xml:space="preserve">Анализ TCP-трафика показал корректное установление соединения между узлами, передачу полезной нагрузки и подтверждение полученных данных, что соответствует стандартной логике работы протокола TCP.</w:t>
      </w:r>
    </w:p>
    <w:p>
      <w:pPr>
        <w:numPr>
          <w:ilvl w:val="0"/>
          <w:numId w:val="1003"/>
        </w:numPr>
      </w:pPr>
      <w:r>
        <w:t xml:space="preserve">По завершении анализа трафика захват пакетов в Wireshark был остановлен, после чего выполнение лабораторной работы завершено.</w:t>
      </w:r>
    </w:p>
    <w:bookmarkEnd w:id="50"/>
    <w:bookmarkStart w:id="75" w:name="X7e3c88910e7b08e39ef1cb34d08cbfe1a38982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numPr>
          <w:ilvl w:val="0"/>
          <w:numId w:val="1004"/>
        </w:numPr>
      </w:pPr>
      <w:r>
        <w:t xml:space="preserve">Запущены GNS3 VM и среда моделирования GNS3. Создан новый проект для выполнения лабораторной работы.</w:t>
      </w:r>
    </w:p>
    <w:p>
      <w:pPr>
        <w:numPr>
          <w:ilvl w:val="0"/>
          <w:numId w:val="1004"/>
        </w:numPr>
      </w:pPr>
      <w:r>
        <w:t xml:space="preserve">В рабочей области GNS3 размещены следующие устройства:</w:t>
      </w:r>
    </w:p>
    <w:p>
      <w:pPr>
        <w:numPr>
          <w:ilvl w:val="1"/>
          <w:numId w:val="1005"/>
        </w:numPr>
        <w:pStyle w:val="Compact"/>
      </w:pPr>
      <w:r>
        <w:t xml:space="preserve">оконечное устройство VPCS;</w:t>
      </w:r>
    </w:p>
    <w:p>
      <w:pPr>
        <w:numPr>
          <w:ilvl w:val="1"/>
          <w:numId w:val="1005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05"/>
        </w:numPr>
        <w:pStyle w:val="Compact"/>
      </w:pPr>
      <w:r>
        <w:t xml:space="preserve">маршрутизатор FRR.</w:t>
      </w:r>
    </w:p>
    <w:p>
      <w:pPr>
        <w:numPr>
          <w:ilvl w:val="0"/>
          <w:numId w:val="1000"/>
        </w:numPr>
      </w:pPr>
      <w:r>
        <w:t xml:space="preserve">Сформирована топология сети, в которой VPCS подключён к коммутатору, а коммутатор — к маршрутизатору FRR.</w:t>
      </w:r>
    </w:p>
    <w:p>
      <w:pPr>
        <w:numPr>
          <w:ilvl w:val="0"/>
          <w:numId w:val="1000"/>
        </w:numPr>
        <w:pStyle w:val="CaptionedFigure"/>
      </w:pPr>
      <w:bookmarkStart w:id="54" w:name="fig:018"/>
      <w:r>
        <w:drawing>
          <wp:inline>
            <wp:extent cx="4879361" cy="2358998"/>
            <wp:effectExtent b="0" l="0" r="0" t="0"/>
            <wp:docPr descr="Рис. 8: Топология сети с маршрутизатором FRR" title="" id="52" name="Picture"/>
            <a:graphic>
              <a:graphicData uri="http://schemas.openxmlformats.org/drawingml/2006/picture">
                <pic:pic>
                  <pic:nvPicPr>
                    <pic:cNvPr descr="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23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Топология сети с маршрутизатором FRR</w:t>
      </w:r>
    </w:p>
    <w:p>
      <w:pPr>
        <w:numPr>
          <w:ilvl w:val="0"/>
          <w:numId w:val="1004"/>
        </w:numPr>
      </w:pPr>
      <w:r>
        <w:t xml:space="preserve">Выполнено переименование устройств в соответствии с заданными требованиями:</w:t>
      </w:r>
    </w:p>
    <w:p>
      <w:pPr>
        <w:numPr>
          <w:ilvl w:val="1"/>
          <w:numId w:val="1006"/>
        </w:numPr>
        <w:pStyle w:val="Compact"/>
      </w:pPr>
      <w:r>
        <w:t xml:space="preserve">VPCS —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коммутатор —</w:t>
      </w:r>
      <w:r>
        <w:t xml:space="preserve"> </w:t>
      </w:r>
      <w:r>
        <w:rPr>
          <w:rStyle w:val="VerbatimChar"/>
        </w:rPr>
        <w:t xml:space="preserve">msk-elsaiedadel-sw-01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маршрутизатор —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На соединении между коммутатором и маршрутизатором включён захват трафика для последующего анализа в Wireshark.</w:t>
      </w:r>
    </w:p>
    <w:p>
      <w:pPr>
        <w:numPr>
          <w:ilvl w:val="0"/>
          <w:numId w:val="1004"/>
        </w:numPr>
      </w:pPr>
      <w:r>
        <w:t xml:space="preserve">Все устройства проекта запущены. Для каждого узла открыта консоль управления.</w:t>
      </w:r>
    </w:p>
    <w:p>
      <w:pPr>
        <w:numPr>
          <w:ilvl w:val="0"/>
          <w:numId w:val="1004"/>
        </w:numPr>
      </w:pPr>
      <w:r>
        <w:t xml:space="preserve">На оконечном устройстве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выполнена настройка IP-адресации. Узлу присвоен IP-адрес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а в качестве шлюза по умолчанию указан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После этого конфигурация сохранена, и выполнен просмотр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58" w:name="fig:019"/>
      <w:r>
        <w:drawing>
          <wp:inline>
            <wp:extent cx="4725680" cy="3158137"/>
            <wp:effectExtent b="0" l="0" r="0" t="0"/>
            <wp:docPr descr="Рис. 9: Настройка IP-адресации VPCS" title="" id="56" name="Picture"/>
            <a:graphic>
              <a:graphicData uri="http://schemas.openxmlformats.org/drawingml/2006/picture">
                <pic:pic>
                  <pic:nvPicPr>
                    <pic:cNvPr descr="Screenshot_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80" cy="315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IP-адресации VPCS</w:t>
      </w:r>
    </w:p>
    <w:p>
      <w:pPr>
        <w:numPr>
          <w:ilvl w:val="0"/>
          <w:numId w:val="1004"/>
        </w:numPr>
      </w:pPr>
      <w:r>
        <w:t xml:space="preserve">На маршрутизаторе FRR выполнена базовая настройка. Задано имя устройства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, после чего на интерфейсе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настроен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Интерфейс переведён в активное состояние, а конфигурация сохранена в постоянной памяти.</w:t>
      </w:r>
    </w:p>
    <w:p>
      <w:pPr>
        <w:numPr>
          <w:ilvl w:val="0"/>
          <w:numId w:val="1000"/>
        </w:numPr>
        <w:pStyle w:val="CaptionedFigure"/>
      </w:pPr>
      <w:bookmarkStart w:id="62" w:name="fig:020"/>
      <w:r>
        <w:drawing>
          <wp:inline>
            <wp:extent cx="5334000" cy="3903653"/>
            <wp:effectExtent b="0" l="0" r="0" t="0"/>
            <wp:docPr descr="Рис. 10: Настройка интерфейса маршрутизатора FRR" title="" id="60" name="Picture"/>
            <a:graphic>
              <a:graphicData uri="http://schemas.openxmlformats.org/drawingml/2006/picture">
                <pic:pic>
                  <pic:nvPicPr>
                    <pic:cNvPr descr="Screenshot_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Настройка интерфейса маршрутизатора FRR</w:t>
      </w:r>
    </w:p>
    <w:p>
      <w:pPr>
        <w:numPr>
          <w:ilvl w:val="0"/>
          <w:numId w:val="1004"/>
        </w:numPr>
      </w:pPr>
      <w:r>
        <w:t xml:space="preserve">Для проверки корректности конфигурации маршрутизатора выполнен просмотр текущей конфигурации и состояния интерфейсов. В результате подтверждено, что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находится в состоянии up и имеет корректно назначенный IP-адрес.</w:t>
      </w:r>
    </w:p>
    <w:p>
      <w:pPr>
        <w:numPr>
          <w:ilvl w:val="0"/>
          <w:numId w:val="1000"/>
        </w:numPr>
        <w:pStyle w:val="CaptionedFigure"/>
      </w:pPr>
      <w:bookmarkStart w:id="66" w:name="fig:021"/>
      <w:r>
        <w:drawing>
          <wp:inline>
            <wp:extent cx="5334000" cy="4534979"/>
            <wp:effectExtent b="0" l="0" r="0" t="0"/>
            <wp:docPr descr="Рис. 11: Проверка конфигурации и интерфейсов FRR" title="" id="64" name="Picture"/>
            <a:graphic>
              <a:graphicData uri="http://schemas.openxmlformats.org/drawingml/2006/picture">
                <pic:pic>
                  <pic:nvPicPr>
                    <pic:cNvPr descr="Screenshot_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Проверка конфигурации и интерфейсов FRR</w:t>
      </w:r>
    </w:p>
    <w:p>
      <w:pPr>
        <w:numPr>
          <w:ilvl w:val="0"/>
          <w:numId w:val="1004"/>
        </w:numPr>
      </w:pPr>
      <w:r>
        <w:t xml:space="preserve">С оконечного устройства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выполнена проверка сетевой связности путём отправки ICMP эхо-запросов на адрес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Получены корректные ответы без потерь пакетов, что подтверждает работоспособность соединения.</w:t>
      </w:r>
    </w:p>
    <w:p>
      <w:pPr>
        <w:numPr>
          <w:ilvl w:val="0"/>
          <w:numId w:val="1000"/>
        </w:numPr>
        <w:pStyle w:val="CaptionedFigure"/>
      </w:pPr>
      <w:bookmarkStart w:id="70" w:name="fig:022"/>
      <w:r>
        <w:drawing>
          <wp:inline>
            <wp:extent cx="5334000" cy="3549315"/>
            <wp:effectExtent b="0" l="0" r="0" t="0"/>
            <wp:docPr descr="Рис. 12: Проверка связи между PC и маршрутизатором" title="" id="68" name="Picture"/>
            <a:graphic>
              <a:graphicData uri="http://schemas.openxmlformats.org/drawingml/2006/picture">
                <pic:pic>
                  <pic:nvPicPr>
                    <pic:cNvPr descr="Screenshot_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Проверка связи между PC и маршрутизатором</w:t>
      </w:r>
    </w:p>
    <w:p>
      <w:pPr>
        <w:numPr>
          <w:ilvl w:val="0"/>
          <w:numId w:val="1004"/>
        </w:numPr>
      </w:pPr>
      <w:r>
        <w:t xml:space="preserve">В окне Wireshark проанализирован захваченный трафик. Зафиксированы ARP-запросы для определения MAC-адреса маршрутизатора, а также ICMP Echo Request и Echo Reply сообщения между узлом PC и маршрутизатором. Анализ пакетов подтверждает корректную работу протоколов ARP и ICMP в смоделированной сети.</w:t>
      </w:r>
    </w:p>
    <w:p>
      <w:pPr>
        <w:numPr>
          <w:ilvl w:val="0"/>
          <w:numId w:val="1000"/>
        </w:numPr>
        <w:pStyle w:val="CaptionedFigure"/>
      </w:pPr>
      <w:bookmarkStart w:id="74" w:name="fig:023"/>
      <w:r>
        <w:drawing>
          <wp:inline>
            <wp:extent cx="5334000" cy="4071235"/>
            <wp:effectExtent b="0" l="0" r="0" t="0"/>
            <wp:docPr descr="Рис. 13: Анализ ARP и ICMP трафика в Wireshark" title="" id="72" name="Picture"/>
            <a:graphic>
              <a:graphicData uri="http://schemas.openxmlformats.org/drawingml/2006/picture">
                <pic:pic>
                  <pic:nvPicPr>
                    <pic:cNvPr descr="Screenshot_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Анализ ARP и ICMP трафика в Wireshark</w:t>
      </w:r>
    </w:p>
    <w:p>
      <w:pPr>
        <w:numPr>
          <w:ilvl w:val="0"/>
          <w:numId w:val="1004"/>
        </w:numPr>
      </w:pPr>
      <w:r>
        <w:t xml:space="preserve">По завершении анализа захват трафика в Wireshark остановлен. Все устройства в проекте корректно остановлены, выполнение лабораторной работы завершено.</w:t>
      </w:r>
    </w:p>
    <w:bookmarkEnd w:id="75"/>
    <w:bookmarkStart w:id="92" w:name="X82983d94f7dd78a1e571ecd9eec1cf5395969b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numPr>
          <w:ilvl w:val="0"/>
          <w:numId w:val="1007"/>
        </w:numPr>
      </w:pPr>
      <w:r>
        <w:t xml:space="preserve">Запущены GNS3 VM и программный комплекс GNS3. Создан новый проект для выполнения лабораторной работы.</w:t>
      </w:r>
    </w:p>
    <w:p>
      <w:pPr>
        <w:numPr>
          <w:ilvl w:val="0"/>
          <w:numId w:val="1007"/>
        </w:numPr>
      </w:pPr>
      <w:r>
        <w:t xml:space="preserve">В рабочей области GNS3 размещены следующие сетевые устройства:</w:t>
      </w:r>
    </w:p>
    <w:p>
      <w:pPr>
        <w:numPr>
          <w:ilvl w:val="1"/>
          <w:numId w:val="1008"/>
        </w:numPr>
        <w:pStyle w:val="Compact"/>
      </w:pPr>
      <w:r>
        <w:t xml:space="preserve">оконечное устройство VPCS;</w:t>
      </w:r>
    </w:p>
    <w:p>
      <w:pPr>
        <w:numPr>
          <w:ilvl w:val="1"/>
          <w:numId w:val="1008"/>
        </w:numPr>
        <w:pStyle w:val="Compact"/>
      </w:pPr>
      <w:r>
        <w:t xml:space="preserve">Ethernet-коммутатор;</w:t>
      </w:r>
    </w:p>
    <w:p>
      <w:pPr>
        <w:numPr>
          <w:ilvl w:val="1"/>
          <w:numId w:val="1008"/>
        </w:numPr>
        <w:pStyle w:val="Compact"/>
      </w:pPr>
      <w:r>
        <w:t xml:space="preserve">маршрутизатор VyOS.</w:t>
      </w:r>
    </w:p>
    <w:p>
      <w:pPr>
        <w:numPr>
          <w:ilvl w:val="0"/>
          <w:numId w:val="1000"/>
        </w:numPr>
      </w:pPr>
      <w:r>
        <w:t xml:space="preserve">Сформирована топология сети, в которой VPCS подключён к коммутатору, а коммутатор — к маршрутизатору VyOS.</w:t>
      </w:r>
    </w:p>
    <w:p>
      <w:pPr>
        <w:numPr>
          <w:ilvl w:val="0"/>
          <w:numId w:val="1000"/>
        </w:numPr>
        <w:pStyle w:val="CaptionedFigure"/>
      </w:pPr>
      <w:bookmarkStart w:id="79" w:name="fig:024"/>
      <w:r>
        <w:drawing>
          <wp:inline>
            <wp:extent cx="4787152" cy="2827724"/>
            <wp:effectExtent b="0" l="0" r="0" t="0"/>
            <wp:docPr descr="Рис. 14: Топология сети с маршрутизатором VyOS" title="" id="77" name="Picture"/>
            <a:graphic>
              <a:graphicData uri="http://schemas.openxmlformats.org/drawingml/2006/picture">
                <pic:pic>
                  <pic:nvPicPr>
                    <pic:cNvPr descr="Screenshot_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Топология сети с маршрутизатором VyOS</w:t>
      </w:r>
    </w:p>
    <w:p>
      <w:pPr>
        <w:numPr>
          <w:ilvl w:val="0"/>
          <w:numId w:val="1007"/>
        </w:numPr>
      </w:pPr>
      <w:r>
        <w:t xml:space="preserve">Выполнено переименование устройств в соответствии с требованиями задания:</w:t>
      </w:r>
    </w:p>
    <w:p>
      <w:pPr>
        <w:numPr>
          <w:ilvl w:val="1"/>
          <w:numId w:val="1009"/>
        </w:numPr>
        <w:pStyle w:val="Compact"/>
      </w:pPr>
      <w:r>
        <w:t xml:space="preserve">VPCS —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коммутатор —</w:t>
      </w:r>
      <w:r>
        <w:t xml:space="preserve"> </w:t>
      </w:r>
      <w:r>
        <w:rPr>
          <w:rStyle w:val="VerbatimChar"/>
        </w:rPr>
        <w:t xml:space="preserve">msk-elsaiedadel-sw-01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маршрутизатор —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На соединении между коммутатором и маршрутизатором включён захват трафика для последующего анализа в Wireshark.</w:t>
      </w:r>
    </w:p>
    <w:p>
      <w:pPr>
        <w:numPr>
          <w:ilvl w:val="0"/>
          <w:numId w:val="1007"/>
        </w:numPr>
      </w:pPr>
      <w:r>
        <w:t xml:space="preserve">Все устройства проекта запущены, для каждого узла открыта консоль управления.</w:t>
      </w:r>
    </w:p>
    <w:p>
      <w:pPr>
        <w:numPr>
          <w:ilvl w:val="0"/>
          <w:numId w:val="1007"/>
        </w:numPr>
      </w:pPr>
      <w:r>
        <w:t xml:space="preserve">На оконечном устройстве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выполнена настройка IP-адресации. Узлу присвоен IP-адрес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в качестве шлюза по умолчанию указан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После этого конфигурация сохранена и выполнен просмотр текущих сетевых параметров.</w:t>
      </w:r>
    </w:p>
    <w:p>
      <w:pPr>
        <w:numPr>
          <w:ilvl w:val="0"/>
          <w:numId w:val="1000"/>
        </w:numPr>
        <w:pStyle w:val="CaptionedFigure"/>
      </w:pPr>
      <w:bookmarkStart w:id="83" w:name="fig:025"/>
      <w:r>
        <w:drawing>
          <wp:inline>
            <wp:extent cx="4810205" cy="4372215"/>
            <wp:effectExtent b="0" l="0" r="0" t="0"/>
            <wp:docPr descr="Рис. 15: Настройка IP-адресации VPCS" title="" id="81" name="Picture"/>
            <a:graphic>
              <a:graphicData uri="http://schemas.openxmlformats.org/drawingml/2006/picture">
                <pic:pic>
                  <pic:nvPicPr>
                    <pic:cNvPr descr="Screenshot_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5" cy="437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Настройка IP-адресации VPCS</w:t>
      </w:r>
    </w:p>
    <w:p>
      <w:pPr>
        <w:numPr>
          <w:ilvl w:val="0"/>
          <w:numId w:val="1007"/>
        </w:numPr>
      </w:pPr>
      <w:r>
        <w:t xml:space="preserve">После загрузки маршрутизатора выполнен вход в систему VyOS под учётной записью</w:t>
      </w:r>
      <w:r>
        <w:t xml:space="preserve"> </w:t>
      </w:r>
      <w:r>
        <w:rPr>
          <w:rStyle w:val="VerbatimChar"/>
        </w:rPr>
        <w:t xml:space="preserve">vyos</w:t>
      </w:r>
      <w:r>
        <w:t xml:space="preserve">. Далее система установлена на диск с использованием стандартных параметров установки, после чего маршрутизатор был перезагружен.</w:t>
      </w:r>
    </w:p>
    <w:p>
      <w:pPr>
        <w:numPr>
          <w:ilvl w:val="0"/>
          <w:numId w:val="1007"/>
        </w:numPr>
      </w:pPr>
      <w:r>
        <w:t xml:space="preserve">После перезагрузки выполнен переход в режим конфигурирования. На маршрутизаторе задано имя</w:t>
      </w:r>
      <w:r>
        <w:t xml:space="preserve"> </w:t>
      </w:r>
      <w:r>
        <w:rPr>
          <w:rStyle w:val="VerbatimChar"/>
        </w:rPr>
        <w:t xml:space="preserve">msk-elsaiedadel-gw-01</w:t>
      </w:r>
      <w:r>
        <w:t xml:space="preserve">, а на интерфейсе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настроен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Изменения применены и сохранены в конфигурации. После этого выполнен просмотр информации об интерфейсах маршрутизатора.</w:t>
      </w:r>
    </w:p>
    <w:p>
      <w:pPr>
        <w:numPr>
          <w:ilvl w:val="0"/>
          <w:numId w:val="1000"/>
        </w:numPr>
        <w:pStyle w:val="CaptionedFigure"/>
      </w:pPr>
      <w:bookmarkStart w:id="87" w:name="fig:026"/>
      <w:r>
        <w:drawing>
          <wp:inline>
            <wp:extent cx="5334000" cy="2158649"/>
            <wp:effectExtent b="0" l="0" r="0" t="0"/>
            <wp:docPr descr="Рис. 16: Настройка интерфейса и имени маршрутизатора VyOS" title="" id="85" name="Picture"/>
            <a:graphic>
              <a:graphicData uri="http://schemas.openxmlformats.org/drawingml/2006/picture">
                <pic:pic>
                  <pic:nvPicPr>
                    <pic:cNvPr descr="Screenshot_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Настройка интерфейса и имени маршрутизатора VyOS</w:t>
      </w:r>
    </w:p>
    <w:p>
      <w:pPr>
        <w:numPr>
          <w:ilvl w:val="0"/>
          <w:numId w:val="1007"/>
        </w:numPr>
      </w:pPr>
      <w:r>
        <w:t xml:space="preserve">Для проверки сетевой связности с оконечного устройства</w:t>
      </w:r>
      <w:r>
        <w:t xml:space="preserve"> </w:t>
      </w:r>
      <w:r>
        <w:rPr>
          <w:rStyle w:val="VerbatimChar"/>
        </w:rPr>
        <w:t xml:space="preserve">PC1-elsaiedadel</w:t>
      </w:r>
      <w:r>
        <w:t xml:space="preserve"> </w:t>
      </w:r>
      <w:r>
        <w:t xml:space="preserve">выполнена отправка ICMP эхо-запросов на адрес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Получены корректные ответы без потерь пакетов, что подтверждает работоспособность соединения.</w:t>
      </w:r>
    </w:p>
    <w:p>
      <w:pPr>
        <w:numPr>
          <w:ilvl w:val="0"/>
          <w:numId w:val="1000"/>
        </w:numPr>
        <w:pStyle w:val="CaptionedFigure"/>
      </w:pPr>
      <w:bookmarkStart w:id="91" w:name="fig:027"/>
      <w:r>
        <w:drawing>
          <wp:inline>
            <wp:extent cx="5334000" cy="4072303"/>
            <wp:effectExtent b="0" l="0" r="0" t="0"/>
            <wp:docPr descr="Рис. 17: Проверка связи между PC и маршрутизатором VyOS" title="" id="89" name="Picture"/>
            <a:graphic>
              <a:graphicData uri="http://schemas.openxmlformats.org/drawingml/2006/picture">
                <pic:pic>
                  <pic:nvPicPr>
                    <pic:cNvPr descr="Screenshot_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Проверка связи между PC и маршрутизатором VyOS</w:t>
      </w:r>
    </w:p>
    <w:p>
      <w:pPr>
        <w:numPr>
          <w:ilvl w:val="0"/>
          <w:numId w:val="1007"/>
        </w:numPr>
      </w:pPr>
      <w:r>
        <w:t xml:space="preserve">В окне Wireshark проанализирован захваченный трафик. Зафиксированы ARP-запросы для определения MAC-адреса маршрутизатора, а также ICMP Echo Request и Echo Reply сообщения между оконечным устройством и маршрутизатором. Анализ пакетов подтверждает корректную работу протоколов ARP и ICMP.</w:t>
      </w:r>
    </w:p>
    <w:p>
      <w:pPr>
        <w:numPr>
          <w:ilvl w:val="0"/>
          <w:numId w:val="1007"/>
        </w:numPr>
      </w:pPr>
      <w:r>
        <w:t xml:space="preserve">По завершении анализа захват пакетов в Wireshark был остановлен. Все устройства в проекте корректно остановлены, работа с GNS3 завершена.</w:t>
      </w:r>
    </w:p>
    <w:bookmarkEnd w:id="92"/>
    <w:bookmarkEnd w:id="93"/>
    <w:bookmarkStart w:id="94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было выполнено моделирование простых локальных сетей в среде GNS3 с использованием коммутатора Ethernet, маршрутизаторов FRR и VyOS, а также виртуальных оконечных устройств VPCS. На практике отработаны базовые принципы построения сетевых топологий, настройки IP-адресации и организации сетевого взаимодействия между узлами.</w:t>
      </w:r>
    </w:p>
    <w:p>
      <w:pPr>
        <w:pStyle w:val="BodyText"/>
      </w:pPr>
      <w:r>
        <w:t xml:space="preserve">В процессе работы произведена настройка сетевых интерфейсов оконечных устройств и маршрутизаторов, проверена корректность заданных параметров и обеспечена успешная передача данных между элементами сети. С помощью анализатора пакетов Wireshark выполнен захват и детальный анализ сетевого трафика, что позволило изучить механизмы работы протоколов ARP и ICMP, а также особенности передачи эхо-запросов в различных режимах.</w:t>
      </w:r>
    </w:p>
    <w:p>
      <w:pPr>
        <w:pStyle w:val="BodyText"/>
      </w:pPr>
      <w:r>
        <w:t xml:space="preserve">Результаты экспериментов подтвердили корректность выполненных конфигураций и наглядно продемонстрировали процессы установления сетевого взаимодействия на канальном и сетевом уровнях модели OSI. Полученные практические навыки могут быть использованы при проектировании, настройке и диагностике локальных сетей и сетевых устройств.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Элсаиед Адел</dc:creator>
  <dc:language>ru-RU</dc:language>
  <cp:keywords/>
  <dcterms:created xsi:type="dcterms:W3CDTF">2026-01-20T10:03:28Z</dcterms:created>
  <dcterms:modified xsi:type="dcterms:W3CDTF">2026-01-20T10:03:28Z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Простые сети в GNS3. Анализ трафика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