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92.png" ContentType="image/png"/>
  <Override PartName="/word/media/rId96.png" ContentType="image/png"/>
  <Override PartName="/word/media/rId104.png" ContentType="image/png"/>
  <Override PartName="/word/media/rId100.png" ContentType="image/png"/>
  <Override PartName="/word/media/rId8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4.png" ContentType="image/png"/>
  <Override PartName="/word/media/rId150.png" ContentType="image/png"/>
  <Override PartName="/word/media/rId134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9.png" ContentType="image/png"/>
  <Override PartName="/word/media/rId125.png" ContentType="image/png"/>
  <Override PartName="/word/media/rId109.png" ContentType="image/png"/>
  <Override PartName="/word/media/rId36.png" ContentType="image/png"/>
  <Override PartName="/word/media/rId40.png" ContentType="image/png"/>
  <Override PartName="/word/media/rId72.png" ContentType="image/png"/>
  <Override PartName="/word/media/rId76.png" ContentType="image/png"/>
  <Override PartName="/word/media/rId27.png" ContentType="image/png"/>
  <Override PartName="/word/media/rId2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практические приёмы кодирования и модуляции сигналов в Octave, получить и проанализировать их спектры, а также изучить механизмы самосинхронизации для различных линийных кодов.</w:t>
      </w:r>
    </w:p>
    <w:bookmarkEnd w:id="20"/>
    <w:bookmarkStart w:id="1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2" w:name="построение-графиков-в-octa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 Построение графиков в Octave</w:t>
      </w:r>
    </w:p>
    <w:bookmarkStart w:id="21" w:name="цель-работы-1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данного этапа являлось изучение возможностей среды Octave по построению и экспорту графиков математических функций. Требовалось задать и визуализировать на одном и том же интервале две тригонометрические функции, представленные в виде суммы гармоник, а также сохранить полученные графические результаты в векторном и растровом форматах.</w:t>
      </w:r>
    </w:p>
    <w:p>
      <w:pPr>
        <w:pStyle w:val="BodyText"/>
      </w:pPr>
      <w:r>
        <w:t xml:space="preserve">Заданные функции имеют следующий вид:</w:t>
      </w:r>
      <w:r>
        <w:br/>
      </w:r>
      <w:r>
        <w:t xml:space="preserve">- y1 = sin(x) + 1/3·sin(3x) + 1/5·sin(5x)</w:t>
      </w:r>
      <w:r>
        <w:br/>
      </w:r>
      <w:r>
        <w:t xml:space="preserve">- y2 = cos(x) + 1/3·cos(3x) + 1/5·cos(5x)</w:t>
      </w:r>
    </w:p>
    <w:bookmarkEnd w:id="21"/>
    <w:bookmarkStart w:id="22" w:name="ход-выполнения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начале был сформирован равномерный массив значений аргумента x на интервале от −10 до 10, что обеспечило достаточную плотность точек для корректной визуализации. Далее для каждого значения аргумента были вычислены соответствующие значения функций y1 и y2.</w:t>
      </w:r>
    </w:p>
    <w:p>
      <w:pPr>
        <w:pStyle w:val="BodyText"/>
      </w:pPr>
      <w:r>
        <w:t xml:space="preserve">На следующем шаге был построен отдельный график функции y1, после чего он был сохранён в форматах EPS и PNG. Затем выполнено совместное построение графиков обеих функций на одной системе координат с добавлением легенды, подписей осей и координатной сетки, что повысило наглядность представления результатов.</w:t>
      </w:r>
    </w:p>
    <w:bookmarkEnd w:id="22"/>
    <w:bookmarkStart w:id="31" w:name="результаты-выполнения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Результаты выполнения</w:t>
      </w:r>
    </w:p>
    <w:p>
      <w:pPr>
        <w:pStyle w:val="FirstParagraph"/>
      </w:pPr>
      <w:r>
        <w:t xml:space="preserve">График функции y1:</w:t>
      </w:r>
      <w:r>
        <w:br/>
      </w:r>
      <w:bookmarkStart w:id="26" w:name="fig:001"/>
      <w:r>
        <w:drawing>
          <wp:inline>
            <wp:extent cx="5334000" cy="4000500"/>
            <wp:effectExtent b="0" l="0" r="0" t="0"/>
            <wp:docPr descr="График функции y1" title="" id="24" name="Picture"/>
            <a:graphic>
              <a:graphicData uri="http://schemas.openxmlformats.org/drawingml/2006/picture">
                <pic:pic>
                  <pic:nvPicPr>
                    <pic:cNvPr descr="plot-s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Совместный график y1 и y2:</w:t>
      </w:r>
      <w:r>
        <w:br/>
      </w:r>
      <w:bookmarkStart w:id="30" w:name="fig:002"/>
      <w:r>
        <w:drawing>
          <wp:inline>
            <wp:extent cx="5334000" cy="4000500"/>
            <wp:effectExtent b="0" l="0" r="0" t="0"/>
            <wp:docPr descr="Графики функций y1 и y2" title="" id="28" name="Picture"/>
            <a:graphic>
              <a:graphicData uri="http://schemas.openxmlformats.org/drawingml/2006/picture">
                <pic:pic>
                  <pic:nvPicPr>
                    <pic:cNvPr descr="plot-sin-c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X07bef417cb4f245ff47fa8bd6db1057000948c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 Разложение импульсного сигнала в частичный ряд Фурье</w:t>
      </w:r>
    </w:p>
    <w:bookmarkStart w:id="33" w:name="цель-работы-2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данного этапа являлось исследование процесса приближения периодического импульсного сигнала (меандра) с помощью частичных сумм ряда Фурье. Рассматривались варианты разложения по нечётным гармоникам с использованием синусного и косинусного представлений.</w:t>
      </w:r>
    </w:p>
    <w:bookmarkEnd w:id="33"/>
    <w:bookmarkStart w:id="34" w:name="исходные-данные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Исходные данные</w:t>
      </w:r>
    </w:p>
    <w:p>
      <w:pPr>
        <w:numPr>
          <w:ilvl w:val="0"/>
          <w:numId w:val="1001"/>
        </w:numPr>
        <w:pStyle w:val="Compact"/>
      </w:pPr>
      <w:r>
        <w:t xml:space="preserve">число гармоник: 8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интервал времени: от −1 до 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шаг дискретизации: 0.01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амплитуда сигнала: 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период: 1</w:t>
      </w:r>
    </w:p>
    <w:bookmarkEnd w:id="34"/>
    <w:bookmarkStart w:id="35" w:name="методика-выполнения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Методика выполнения</w:t>
      </w:r>
    </w:p>
    <w:p>
      <w:pPr>
        <w:pStyle w:val="FirstParagraph"/>
      </w:pPr>
      <w:r>
        <w:t xml:space="preserve">Для каждого значения числа гармоник N от 1 до 8 были сформированы частичные суммы ряда Фурье. Реализация проводилась отдельно для синусного и косинусного рядов. Каждая частичная сумма визуализировалась на отдельном графике, что позволило наглядно оценить влияние числа гармоник на точность аппроксимации сигнала.</w:t>
      </w:r>
    </w:p>
    <w:bookmarkEnd w:id="35"/>
    <w:bookmarkStart w:id="44" w:name="результаты-моделировани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Результаты моделирования</w:t>
      </w:r>
    </w:p>
    <w:p>
      <w:pPr>
        <w:pStyle w:val="FirstParagraph"/>
      </w:pPr>
      <w:r>
        <w:t xml:space="preserve">Косинусное разложение:</w:t>
      </w:r>
      <w:r>
        <w:br/>
      </w:r>
      <w:bookmarkStart w:id="39" w:name="fig:003"/>
      <w:r>
        <w:drawing>
          <wp:inline>
            <wp:extent cx="5334000" cy="4000500"/>
            <wp:effectExtent b="0" l="0" r="0" t="0"/>
            <wp:docPr descr="Меандр через cos-ряд N=1…8" title="" id="37" name="Picture"/>
            <a:graphic>
              <a:graphicData uri="http://schemas.openxmlformats.org/drawingml/2006/picture">
                <pic:pic>
                  <pic:nvPicPr>
                    <pic:cNvPr descr="meand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t xml:space="preserve">Синусное разложение:</w:t>
      </w:r>
      <w:r>
        <w:br/>
      </w:r>
      <w:bookmarkStart w:id="43" w:name="fig:004"/>
      <w:r>
        <w:drawing>
          <wp:inline>
            <wp:extent cx="5334000" cy="4000500"/>
            <wp:effectExtent b="0" l="0" r="0" t="0"/>
            <wp:docPr descr="Меандр через sin-ряд N=1…8" title="" id="41" name="Picture"/>
            <a:graphic>
              <a:graphicData uri="http://schemas.openxmlformats.org/drawingml/2006/picture">
                <pic:pic>
                  <pic:nvPicPr>
                    <pic:cNvPr descr="meandr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r>
        <w:pict>
          <v:rect style="width:0;height:1.5pt" o:hralign="center" o:hrstd="t" o:hr="t"/>
        </w:pict>
      </w:r>
    </w:p>
    <w:bookmarkEnd w:id="44"/>
    <w:bookmarkEnd w:id="45"/>
    <w:bookmarkStart w:id="69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3. Определение спектра и параметров сигнала</w:t>
      </w:r>
    </w:p>
    <w:bookmarkStart w:id="46" w:name="цель-работы-3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 данном этапе проводилось исследование спектральных характеристик гармонических сигналов и их суммы, а также анализ влияния частоты дискретизации на корректность спектрального представления.</w:t>
      </w:r>
    </w:p>
    <w:bookmarkEnd w:id="46"/>
    <w:bookmarkStart w:id="47" w:name="ход-выполнения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каталоге spectre1 были заданы параметры моделирования: длительность сигнала 0.5 с и частота дискретизации Fs = 512 Гц. Сформированы два синусоидальных сигнала с частотами 10 Гц и 40 Гц и амплитудами 1 и 0.7 соответственно.</w:t>
      </w:r>
    </w:p>
    <w:p>
      <w:pPr>
        <w:pStyle w:val="BodyText"/>
      </w:pPr>
      <w:r>
        <w:t xml:space="preserve">Для каждого сигнала были построены временные реализации и вычислены спектры с использованием быстрого преобразования Фурье. Далее выполнено формирование одностороннего спектра с нормировкой амплитуд. В каталоге spectre_sum был сформирован суммарный сигнал и рассчитан его спектр.</w:t>
      </w:r>
    </w:p>
    <w:bookmarkEnd w:id="47"/>
    <w:bookmarkStart w:id="68" w:name="полученные-результаты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Полученные результаты</w:t>
      </w:r>
    </w:p>
    <w:p>
      <w:pPr>
        <w:pStyle w:val="FirstParagraph"/>
      </w:pPr>
      <w:r>
        <w:t xml:space="preserve">Две синусоиды во времени:</w:t>
      </w:r>
      <w:r>
        <w:br/>
      </w:r>
      <w:bookmarkStart w:id="51" w:name="fig:005"/>
      <w:r>
        <w:drawing>
          <wp:inline>
            <wp:extent cx="5334000" cy="4000500"/>
            <wp:effectExtent b="0" l="0" r="0" t="0"/>
            <wp:docPr descr="Два синусоидальных сигнала" title="" id="49" name="Picture"/>
            <a:graphic>
              <a:graphicData uri="http://schemas.openxmlformats.org/drawingml/2006/picture">
                <pic:pic>
                  <pic:nvPicPr>
                    <pic:cNvPr descr="spectre1/signal/spectr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BodyText"/>
      </w:pPr>
      <w:r>
        <w:t xml:space="preserve">Базовые спектры до нормировки:</w:t>
      </w:r>
      <w:r>
        <w:br/>
      </w:r>
      <w:bookmarkStart w:id="55" w:name="fig:006"/>
      <w:r>
        <w:drawing>
          <wp:inline>
            <wp:extent cx="5334000" cy="4000500"/>
            <wp:effectExtent b="0" l="0" r="0" t="0"/>
            <wp:docPr descr="Спектры сигналов" title="" id="53" name="Picture"/>
            <a:graphic>
              <a:graphicData uri="http://schemas.openxmlformats.org/drawingml/2006/picture">
                <pic:pic>
                  <pic:nvPicPr>
                    <pic:cNvPr descr="spectre1/spectre/spectr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BodyText"/>
      </w:pPr>
      <w:r>
        <w:t xml:space="preserve">Нормированные односторонние спектры:</w:t>
      </w:r>
      <w:r>
        <w:br/>
      </w:r>
      <w:bookmarkStart w:id="59" w:name="fig:007"/>
      <w:r>
        <w:drawing>
          <wp:inline>
            <wp:extent cx="5334000" cy="4000500"/>
            <wp:effectExtent b="0" l="0" r="0" t="0"/>
            <wp:docPr descr="Исправленный спектр" title="" id="57" name="Picture"/>
            <a:graphic>
              <a:graphicData uri="http://schemas.openxmlformats.org/drawingml/2006/picture">
                <pic:pic>
                  <pic:nvPicPr>
                    <pic:cNvPr descr="spectre1/spectre/spectre_fix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BodyText"/>
      </w:pPr>
      <w:r>
        <w:t xml:space="preserve">Суммарный сигнал:</w:t>
      </w:r>
      <w:r>
        <w:br/>
      </w:r>
      <w:bookmarkStart w:id="63" w:name="fig:008"/>
      <w:r>
        <w:drawing>
          <wp:inline>
            <wp:extent cx="5334000" cy="4000500"/>
            <wp:effectExtent b="0" l="0" r="0" t="0"/>
            <wp:docPr descr="Общий сигнал" title="" id="61" name="Picture"/>
            <a:graphic>
              <a:graphicData uri="http://schemas.openxmlformats.org/drawingml/2006/picture">
                <pic:pic>
                  <pic:nvPicPr>
                    <pic:cNvPr descr="spectre_sum/signal/spectre_sum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r>
        <w:t xml:space="preserve">Спектр суммы:</w:t>
      </w:r>
      <w:r>
        <w:br/>
      </w:r>
      <w:bookmarkStart w:id="67" w:name="fig:009"/>
      <w:r>
        <w:drawing>
          <wp:inline>
            <wp:extent cx="5334000" cy="4000500"/>
            <wp:effectExtent b="0" l="0" r="0" t="0"/>
            <wp:docPr descr="Спектр суммы" title="" id="65" name="Picture"/>
            <a:graphic>
              <a:graphicData uri="http://schemas.openxmlformats.org/drawingml/2006/picture">
                <pic:pic>
                  <pic:nvPicPr>
                    <pic:cNvPr descr="spectre_sum/spectre/spectre_sum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r>
        <w:pict>
          <v:rect style="width:0;height:1.5pt" o:hralign="center" o:hrstd="t" o:hr="t"/>
        </w:pict>
      </w:r>
    </w:p>
    <w:bookmarkEnd w:id="68"/>
    <w:bookmarkEnd w:id="69"/>
    <w:bookmarkStart w:id="81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4. Амплитудная модуляция</w:t>
      </w:r>
    </w:p>
    <w:bookmarkStart w:id="70" w:name="цель-работы-4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данного этапа являлось моделирование амплитудной модуляции, анализ временной формы АМ-сигнала и исследование его спектрального состава.</w:t>
      </w:r>
    </w:p>
    <w:bookmarkEnd w:id="70"/>
    <w:bookmarkStart w:id="71" w:name="ход-выполнения-2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Был создан сценарий am.m, в котором заданы длительность моделирования 0.5 с и частота дискретизации Fs = 512 Гц. Сформированы модулирующий сигнал с частотой 5 Гц и несущая с частотой 50 Гц. Путём перемножения сигналов получен амплитудно-модулированный сигнал, для которого была построена огибающая и рассчитан спектр.</w:t>
      </w:r>
    </w:p>
    <w:bookmarkEnd w:id="71"/>
    <w:bookmarkStart w:id="80" w:name="результаты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АМ-сигнал с огибающей:</w:t>
      </w:r>
      <w:r>
        <w:br/>
      </w:r>
      <w:bookmarkStart w:id="75" w:name="fig:010"/>
      <w:r>
        <w:drawing>
          <wp:inline>
            <wp:extent cx="5334000" cy="4000500"/>
            <wp:effectExtent b="0" l="0" r="0" t="0"/>
            <wp:docPr descr="АМ-сигнал и огибающая" title="" id="73" name="Picture"/>
            <a:graphic>
              <a:graphicData uri="http://schemas.openxmlformats.org/drawingml/2006/picture">
                <pic:pic>
                  <pic:nvPicPr>
                    <pic:cNvPr descr="modulation/signal/am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BodyText"/>
      </w:pPr>
      <w:r>
        <w:t xml:space="preserve">Спектр АМ:</w:t>
      </w:r>
      <w:r>
        <w:br/>
      </w:r>
      <w:bookmarkStart w:id="79" w:name="fig:011"/>
      <w:r>
        <w:drawing>
          <wp:inline>
            <wp:extent cx="5334000" cy="4000500"/>
            <wp:effectExtent b="0" l="0" r="0" t="0"/>
            <wp:docPr descr="Спектр АМ-сигнала" title="" id="77" name="Picture"/>
            <a:graphic>
              <a:graphicData uri="http://schemas.openxmlformats.org/drawingml/2006/picture">
                <pic:pic>
                  <pic:nvPicPr>
                    <pic:cNvPr descr="modulation/spectre/am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r>
        <w:pict>
          <v:rect style="width:0;height:1.5pt" o:hralign="center" o:hrstd="t" o:hr="t"/>
        </w:pict>
      </w:r>
    </w:p>
    <w:bookmarkEnd w:id="80"/>
    <w:bookmarkEnd w:id="81"/>
    <w:bookmarkStart w:id="159" w:name="Xaa8c1bf527ac7c93ee2af46fc153d73e227d53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5. Кодирование сигнала и исследование самосинхронизации</w:t>
      </w:r>
    </w:p>
    <w:bookmarkStart w:id="82" w:name="цель-работы-5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данного раздела являлось сравнение различных линийных кодов с точки зрения формы сигнала, способности к самосинхронизации и спектральных характеристик.</w:t>
      </w:r>
    </w:p>
    <w:bookmarkEnd w:id="82"/>
    <w:bookmarkStart w:id="83" w:name="методика-выполнения-1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Методика выполнения</w:t>
      </w:r>
    </w:p>
    <w:p>
      <w:pPr>
        <w:pStyle w:val="FirstParagraph"/>
      </w:pPr>
      <w:r>
        <w:t xml:space="preserve">Были подготовлены три набора битовых последовательностей: для демонстрации формы сигналов, анализа самосинхронизации и спектрального анализа. Для каждого типа кодирования построены временные диаграммы, иллюстрации поведения на длинных сериях одинаковых символов и соответствующие спектры.</w:t>
      </w:r>
    </w:p>
    <w:p>
      <w:pPr>
        <w:pStyle w:val="BodyText"/>
      </w:pPr>
      <w:r>
        <w:t xml:space="preserve">Рассматривались следующие линии кодирования: Unipolar, AMI, Bipolar NRZ, Bipolar RZ, Manchester и Differential Manchester.</w:t>
      </w:r>
    </w:p>
    <w:bookmarkEnd w:id="83"/>
    <w:bookmarkStart w:id="108" w:name="графики-сигналов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Графики сигналов</w:t>
      </w:r>
    </w:p>
    <w:p>
      <w:pPr>
        <w:pStyle w:val="FirstParagraph"/>
      </w:pPr>
      <w:r>
        <w:t xml:space="preserve">Unipolar</w:t>
      </w:r>
      <w:r>
        <w:br/>
      </w:r>
      <w:bookmarkStart w:id="87" w:name="fig:012"/>
      <w:r>
        <w:drawing>
          <wp:inline>
            <wp:extent cx="5334000" cy="4000500"/>
            <wp:effectExtent b="0" l="0" r="0" t="0"/>
            <wp:docPr descr="Unipolar сигнал" title="" id="85" name="Picture"/>
            <a:graphic>
              <a:graphicData uri="http://schemas.openxmlformats.org/drawingml/2006/picture">
                <pic:pic>
                  <pic:nvPicPr>
                    <pic:cNvPr descr="coding/signal/unipola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BodyText"/>
      </w:pPr>
      <w:r>
        <w:t xml:space="preserve">AMI</w:t>
      </w:r>
      <w:r>
        <w:br/>
      </w:r>
      <w:bookmarkStart w:id="91" w:name="fig:013"/>
      <w:r>
        <w:drawing>
          <wp:inline>
            <wp:extent cx="5334000" cy="4000500"/>
            <wp:effectExtent b="0" l="0" r="0" t="0"/>
            <wp:docPr descr="AMI сигнал" title="" id="89" name="Picture"/>
            <a:graphic>
              <a:graphicData uri="http://schemas.openxmlformats.org/drawingml/2006/picture">
                <pic:pic>
                  <pic:nvPicPr>
                    <pic:cNvPr descr="coding/signal/ami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BodyText"/>
      </w:pPr>
      <w:r>
        <w:t xml:space="preserve">Bipolar NRZ</w:t>
      </w:r>
      <w:r>
        <w:br/>
      </w:r>
      <w:bookmarkStart w:id="95" w:name="fig:014"/>
      <w:r>
        <w:drawing>
          <wp:inline>
            <wp:extent cx="5334000" cy="4000500"/>
            <wp:effectExtent b="0" l="0" r="0" t="0"/>
            <wp:docPr descr="Bipolar NRZ сигнал" title="" id="93" name="Picture"/>
            <a:graphic>
              <a:graphicData uri="http://schemas.openxmlformats.org/drawingml/2006/picture">
                <pic:pic>
                  <pic:nvPicPr>
                    <pic:cNvPr descr="coding/signal/bipolarnrz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BodyText"/>
      </w:pPr>
      <w:r>
        <w:t xml:space="preserve">Bipolar RZ</w:t>
      </w:r>
      <w:r>
        <w:br/>
      </w:r>
      <w:bookmarkStart w:id="99" w:name="fig:015"/>
      <w:r>
        <w:drawing>
          <wp:inline>
            <wp:extent cx="5334000" cy="4000500"/>
            <wp:effectExtent b="0" l="0" r="0" t="0"/>
            <wp:docPr descr="Bipolar RZ сигнал" title="" id="97" name="Picture"/>
            <a:graphic>
              <a:graphicData uri="http://schemas.openxmlformats.org/drawingml/2006/picture">
                <pic:pic>
                  <pic:nvPicPr>
                    <pic:cNvPr descr="coding/signal/bipolarrz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BodyText"/>
      </w:pPr>
      <w:r>
        <w:t xml:space="preserve">Manchester</w:t>
      </w:r>
      <w:r>
        <w:br/>
      </w:r>
      <w:bookmarkStart w:id="103" w:name="fig:016"/>
      <w:r>
        <w:drawing>
          <wp:inline>
            <wp:extent cx="5334000" cy="4000500"/>
            <wp:effectExtent b="0" l="0" r="0" t="0"/>
            <wp:docPr descr="Manchester сигнал" title="" id="101" name="Picture"/>
            <a:graphic>
              <a:graphicData uri="http://schemas.openxmlformats.org/drawingml/2006/picture">
                <pic:pic>
                  <pic:nvPicPr>
                    <pic:cNvPr descr="coding/signal/manchester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BodyText"/>
      </w:pPr>
      <w:r>
        <w:t xml:space="preserve">Differential Manchester</w:t>
      </w:r>
      <w:r>
        <w:br/>
      </w:r>
      <w:bookmarkStart w:id="107" w:name="fig:017"/>
      <w:r>
        <w:drawing>
          <wp:inline>
            <wp:extent cx="5334000" cy="4000500"/>
            <wp:effectExtent b="0" l="0" r="0" t="0"/>
            <wp:docPr descr="Differential Manchester сигнал" title="" id="105" name="Picture"/>
            <a:graphic>
              <a:graphicData uri="http://schemas.openxmlformats.org/drawingml/2006/picture">
                <pic:pic>
                  <pic:nvPicPr>
                    <pic:cNvPr descr="coding/signal/diffmanc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bookmarkEnd w:id="108"/>
    <w:bookmarkStart w:id="133" w:name="иллюстрации-самосинхронизации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Иллюстрации самосинхронизации</w:t>
      </w:r>
    </w:p>
    <w:p>
      <w:pPr>
        <w:pStyle w:val="FirstParagraph"/>
      </w:pPr>
      <w:r>
        <w:t xml:space="preserve">Unipolar</w:t>
      </w:r>
      <w:r>
        <w:br/>
      </w:r>
      <w:bookmarkStart w:id="112" w:name="fig:018"/>
      <w:r>
        <w:drawing>
          <wp:inline>
            <wp:extent cx="5334000" cy="4000500"/>
            <wp:effectExtent b="0" l="0" r="0" t="0"/>
            <wp:docPr descr="Unipolar sync" title="" id="110" name="Picture"/>
            <a:graphic>
              <a:graphicData uri="http://schemas.openxmlformats.org/drawingml/2006/picture">
                <pic:pic>
                  <pic:nvPicPr>
                    <pic:cNvPr descr="coding/sync/unipolar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BodyText"/>
      </w:pPr>
      <w:r>
        <w:t xml:space="preserve">AMI</w:t>
      </w:r>
      <w:r>
        <w:br/>
      </w:r>
      <w:bookmarkStart w:id="116" w:name="fig:019"/>
      <w:r>
        <w:drawing>
          <wp:inline>
            <wp:extent cx="5334000" cy="4000500"/>
            <wp:effectExtent b="0" l="0" r="0" t="0"/>
            <wp:docPr descr="AMI sync" title="" id="114" name="Picture"/>
            <a:graphic>
              <a:graphicData uri="http://schemas.openxmlformats.org/drawingml/2006/picture">
                <pic:pic>
                  <pic:nvPicPr>
                    <pic:cNvPr descr="coding/sync/ami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BodyText"/>
      </w:pPr>
      <w:r>
        <w:t xml:space="preserve">Bipolar NRZ</w:t>
      </w:r>
      <w:r>
        <w:br/>
      </w:r>
      <w:bookmarkStart w:id="120" w:name="fig:020"/>
      <w:r>
        <w:drawing>
          <wp:inline>
            <wp:extent cx="5334000" cy="4000500"/>
            <wp:effectExtent b="0" l="0" r="0" t="0"/>
            <wp:docPr descr="Bipolar NRZ sync" title="" id="118" name="Picture"/>
            <a:graphic>
              <a:graphicData uri="http://schemas.openxmlformats.org/drawingml/2006/picture">
                <pic:pic>
                  <pic:nvPicPr>
                    <pic:cNvPr descr="coding/sync/bipolarnrz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pStyle w:val="BodyText"/>
      </w:pPr>
      <w:r>
        <w:t xml:space="preserve">Bipolar RZ</w:t>
      </w:r>
      <w:r>
        <w:br/>
      </w:r>
      <w:bookmarkStart w:id="124" w:name="fig:021"/>
      <w:r>
        <w:drawing>
          <wp:inline>
            <wp:extent cx="5334000" cy="4000500"/>
            <wp:effectExtent b="0" l="0" r="0" t="0"/>
            <wp:docPr descr="Bipolar RZ sync" title="" id="122" name="Picture"/>
            <a:graphic>
              <a:graphicData uri="http://schemas.openxmlformats.org/drawingml/2006/picture">
                <pic:pic>
                  <pic:nvPicPr>
                    <pic:cNvPr descr="coding/sync/bipolarrz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BodyText"/>
      </w:pPr>
      <w:r>
        <w:t xml:space="preserve">Manchester</w:t>
      </w:r>
      <w:r>
        <w:br/>
      </w:r>
      <w:bookmarkStart w:id="128" w:name="fig:022"/>
      <w:r>
        <w:drawing>
          <wp:inline>
            <wp:extent cx="5334000" cy="4000500"/>
            <wp:effectExtent b="0" l="0" r="0" t="0"/>
            <wp:docPr descr="Manchester sync" title="" id="126" name="Picture"/>
            <a:graphic>
              <a:graphicData uri="http://schemas.openxmlformats.org/drawingml/2006/picture">
                <pic:pic>
                  <pic:nvPicPr>
                    <pic:cNvPr descr="coding/sync/manchester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pStyle w:val="BodyText"/>
      </w:pPr>
      <w:r>
        <w:t xml:space="preserve">Differential Manchester</w:t>
      </w:r>
      <w:r>
        <w:br/>
      </w:r>
      <w:bookmarkStart w:id="132" w:name="fig:023"/>
      <w:r>
        <w:drawing>
          <wp:inline>
            <wp:extent cx="5334000" cy="4000500"/>
            <wp:effectExtent b="0" l="0" r="0" t="0"/>
            <wp:docPr descr="Differential Manchester sync" title="" id="130" name="Picture"/>
            <a:graphic>
              <a:graphicData uri="http://schemas.openxmlformats.org/drawingml/2006/picture">
                <pic:pic>
                  <pic:nvPicPr>
                    <pic:cNvPr descr="coding/sync/diffmanc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bookmarkEnd w:id="133"/>
    <w:bookmarkStart w:id="158" w:name="графики-спектров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Графики спектров</w:t>
      </w:r>
    </w:p>
    <w:p>
      <w:pPr>
        <w:pStyle w:val="FirstParagraph"/>
      </w:pPr>
      <w:r>
        <w:t xml:space="preserve">Unipolar</w:t>
      </w:r>
      <w:r>
        <w:br/>
      </w:r>
      <w:bookmarkStart w:id="137" w:name="fig:024"/>
      <w:r>
        <w:drawing>
          <wp:inline>
            <wp:extent cx="5334000" cy="4000500"/>
            <wp:effectExtent b="0" l="0" r="0" t="0"/>
            <wp:docPr descr="Unipolar спектр" title="" id="135" name="Picture"/>
            <a:graphic>
              <a:graphicData uri="http://schemas.openxmlformats.org/drawingml/2006/picture">
                <pic:pic>
                  <pic:nvPicPr>
                    <pic:cNvPr descr="coding/spectre/unipolar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p>
      <w:pPr>
        <w:pStyle w:val="BodyText"/>
      </w:pPr>
      <w:r>
        <w:t xml:space="preserve">AMI</w:t>
      </w:r>
      <w:r>
        <w:br/>
      </w:r>
      <w:bookmarkStart w:id="141" w:name="fig:025"/>
      <w:r>
        <w:drawing>
          <wp:inline>
            <wp:extent cx="5334000" cy="4000500"/>
            <wp:effectExtent b="0" l="0" r="0" t="0"/>
            <wp:docPr descr="AMI спектр" title="" id="139" name="Picture"/>
            <a:graphic>
              <a:graphicData uri="http://schemas.openxmlformats.org/drawingml/2006/picture">
                <pic:pic>
                  <pic:nvPicPr>
                    <pic:cNvPr descr="coding/spectre/ami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</w:p>
    <w:p>
      <w:pPr>
        <w:pStyle w:val="BodyText"/>
      </w:pPr>
      <w:r>
        <w:t xml:space="preserve">Bipolar NRZ</w:t>
      </w:r>
      <w:r>
        <w:br/>
      </w:r>
      <w:bookmarkStart w:id="145" w:name="fig:026"/>
      <w:r>
        <w:drawing>
          <wp:inline>
            <wp:extent cx="5334000" cy="4000500"/>
            <wp:effectExtent b="0" l="0" r="0" t="0"/>
            <wp:docPr descr="Bipolar NRZ спектр" title="" id="143" name="Picture"/>
            <a:graphic>
              <a:graphicData uri="http://schemas.openxmlformats.org/drawingml/2006/picture">
                <pic:pic>
                  <pic:nvPicPr>
                    <pic:cNvPr descr="coding/spectre/bipolarnrz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5"/>
    </w:p>
    <w:p>
      <w:pPr>
        <w:pStyle w:val="BodyText"/>
      </w:pPr>
      <w:r>
        <w:t xml:space="preserve">Bipolar RZ</w:t>
      </w:r>
      <w:r>
        <w:br/>
      </w:r>
      <w:bookmarkStart w:id="149" w:name="fig:027"/>
      <w:r>
        <w:drawing>
          <wp:inline>
            <wp:extent cx="5334000" cy="4000500"/>
            <wp:effectExtent b="0" l="0" r="0" t="0"/>
            <wp:docPr descr="Bipolar RZ спектр" title="" id="147" name="Picture"/>
            <a:graphic>
              <a:graphicData uri="http://schemas.openxmlformats.org/drawingml/2006/picture">
                <pic:pic>
                  <pic:nvPicPr>
                    <pic:cNvPr descr="coding/spectre/bipolarrz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9"/>
    </w:p>
    <w:p>
      <w:pPr>
        <w:pStyle w:val="BodyText"/>
      </w:pPr>
      <w:r>
        <w:t xml:space="preserve">Manchester</w:t>
      </w:r>
      <w:r>
        <w:br/>
      </w:r>
      <w:bookmarkStart w:id="153" w:name="fig:028"/>
      <w:r>
        <w:drawing>
          <wp:inline>
            <wp:extent cx="5334000" cy="4000500"/>
            <wp:effectExtent b="0" l="0" r="0" t="0"/>
            <wp:docPr descr="Manchester спектр" title="" id="151" name="Picture"/>
            <a:graphic>
              <a:graphicData uri="http://schemas.openxmlformats.org/drawingml/2006/picture">
                <pic:pic>
                  <pic:nvPicPr>
                    <pic:cNvPr descr="coding/spectre/manchester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3"/>
    </w:p>
    <w:p>
      <w:pPr>
        <w:pStyle w:val="BodyText"/>
      </w:pPr>
      <w:r>
        <w:t xml:space="preserve">Differential Manchester</w:t>
      </w:r>
      <w:r>
        <w:br/>
      </w:r>
      <w:bookmarkStart w:id="157" w:name="fig:029"/>
      <w:r>
        <w:drawing>
          <wp:inline>
            <wp:extent cx="5334000" cy="4000500"/>
            <wp:effectExtent b="0" l="0" r="0" t="0"/>
            <wp:docPr descr="Differential Manchester спектр" title="" id="155" name="Picture"/>
            <a:graphic>
              <a:graphicData uri="http://schemas.openxmlformats.org/drawingml/2006/picture">
                <pic:pic>
                  <pic:nvPicPr>
                    <pic:cNvPr descr="coding/spectre/diffmanc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7"/>
    </w:p>
    <w:bookmarkEnd w:id="158"/>
    <w:bookmarkEnd w:id="159"/>
    <w:bookmarkStart w:id="160" w:name="итоговые-выводы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Итоговые выводы</w:t>
      </w:r>
    </w:p>
    <w:p>
      <w:pPr>
        <w:numPr>
          <w:ilvl w:val="0"/>
          <w:numId w:val="1002"/>
        </w:numPr>
        <w:pStyle w:val="Compact"/>
      </w:pPr>
      <w:r>
        <w:t xml:space="preserve">Аппроксимация периодических сигналов конечным числом гармоник позволяет получить близкое к реальному представление формы сигнала, однако вблизи разрывов неизбежно возникают колебания, обусловленные фундаментальными свойствами рядов Фурье.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Спектральный анализ подтверждает линейность преобразования Фурье и подчёркивает важность выбора частоты дискретизации с запасом относительно максимальной частоты сигнала для предотвращения алиасинга.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При амплитудной модуляции основная информация переносится боковыми полосами спектра, что требует корректной нормировки и аккуратной интерпретации спектральных составляющих.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Анализ линийных кодов показал, что коды с обязательными переходами обладают лучшими свойствами самосинхронизации, однако занимают более широкую полосу частот.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Практическая реализация всех этапов в среде Octave продемонстрировала эффективность единого подхода к моделированию, спектральному анализу и визуализации сигналов при решении инженерных задач обработки и передачи информации.</w:t>
      </w:r>
    </w:p>
    <w:bookmarkEnd w:id="160"/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4" Target="media/rId104.png" /><Relationship Type="http://schemas.openxmlformats.org/officeDocument/2006/relationships/image" Id="rId100" Target="media/rId100.png" /><Relationship Type="http://schemas.openxmlformats.org/officeDocument/2006/relationships/image" Id="rId84" Target="media/rId8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4" Target="media/rId154.png" /><Relationship Type="http://schemas.openxmlformats.org/officeDocument/2006/relationships/image" Id="rId150" Target="media/rId150.png" /><Relationship Type="http://schemas.openxmlformats.org/officeDocument/2006/relationships/image" Id="rId134" Target="media/rId134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9" Target="media/rId129.png" /><Relationship Type="http://schemas.openxmlformats.org/officeDocument/2006/relationships/image" Id="rId125" Target="media/rId125.png" /><Relationship Type="http://schemas.openxmlformats.org/officeDocument/2006/relationships/image" Id="rId109" Target="media/rId109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Элсаиед Адел</dc:creator>
  <dc:language>ru-RU</dc:language>
  <cp:keywords/>
  <dcterms:created xsi:type="dcterms:W3CDTF">2026-01-18T10:44:04Z</dcterms:created>
  <dcterms:modified xsi:type="dcterms:W3CDTF">2026-01-18T10:44:04Z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Методы кодирования и модуляция сигналов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