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Исследование</w:t>
      </w:r>
      <w:r>
        <w:t xml:space="preserve"> </w:t>
      </w:r>
      <w:r>
        <w:t xml:space="preserve">работоспособности</w:t>
      </w:r>
      <w:r>
        <w:t xml:space="preserve"> </w:t>
      </w:r>
      <w:r>
        <w:t xml:space="preserve">сети</w:t>
      </w:r>
      <w:r>
        <w:t xml:space="preserve"> </w:t>
      </w:r>
      <w:r>
        <w:t xml:space="preserve">Fast</w:t>
      </w:r>
      <w:r>
        <w:t xml:space="preserve"> </w:t>
      </w:r>
      <w:r>
        <w:t xml:space="preserve">Ethernet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лабораторной работы является освоение базовых принципов функционирования технологий</w:t>
      </w:r>
      <w:r>
        <w:t xml:space="preserve"> </w:t>
      </w:r>
      <w:r>
        <w:rPr>
          <w:bCs/>
          <w:b/>
        </w:rPr>
        <w:t xml:space="preserve">Ethernet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 Ethernet</w:t>
      </w:r>
      <w:r>
        <w:t xml:space="preserve">, а также формирование практических навыков анализа и оценки работоспособности локальной вычислительной сети, построенной на основе технологии</w:t>
      </w:r>
      <w:r>
        <w:t xml:space="preserve"> </w:t>
      </w:r>
      <w:r>
        <w:rPr>
          <w:bCs/>
          <w:b/>
        </w:rPr>
        <w:t xml:space="preserve">Fast Ethernet</w:t>
      </w:r>
      <w:r>
        <w:t xml:space="preserve"> </w:t>
      </w:r>
      <w:r>
        <w:t xml:space="preserve">с использованием повторителей класса II.</w:t>
      </w:r>
    </w:p>
    <w:bookmarkEnd w:id="20"/>
    <w:bookmarkStart w:id="58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5" w:name="исходные-данные-и-структура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Исходные данные и структура сети</w:t>
      </w:r>
    </w:p>
    <w:p>
      <w:pPr>
        <w:pStyle w:val="FirstParagraph"/>
      </w:pPr>
      <w:r>
        <w:t xml:space="preserve">В рамках лабораторной работы рассматривалась сетевая конфигурация, состоящая из нескольких сегментов Fast Ethernet, объединённых с помощью повторителей класса II. В качестве физической среды передачи данных во всех вариантах использовался витая пара стандарта</w:t>
      </w:r>
      <w:r>
        <w:t xml:space="preserve"> </w:t>
      </w:r>
      <w:r>
        <w:rPr>
          <w:bCs/>
          <w:b/>
        </w:rPr>
        <w:t xml:space="preserve">100BASE-TX</w:t>
      </w:r>
      <w:r>
        <w:t xml:space="preserve"> </w:t>
      </w:r>
      <w:r>
        <w:t xml:space="preserve">категории 5.</w:t>
      </w:r>
    </w:p>
    <w:p>
      <w:pPr>
        <w:pStyle w:val="BodyText"/>
      </w:pPr>
      <w:r>
        <w:t xml:space="preserve">Заданная топология представляет собой многоузловую структуру, в которой конечные устройства соединяются через промежуточные сегменты и повторители, что требует обязательной проверки соблюдения ограничений по длине линий и задержкам распространения сигнала.</w:t>
      </w:r>
    </w:p>
    <w:p>
      <w:pPr>
        <w:pStyle w:val="CaptionedFigure"/>
      </w:pPr>
      <w:bookmarkStart w:id="24" w:name="fig:topology"/>
      <w:r>
        <w:drawing>
          <wp:inline>
            <wp:extent cx="5334000" cy="2530230"/>
            <wp:effectExtent b="0" l="0" r="0" t="0"/>
            <wp:docPr descr="Рис. 1: Топология сети Fast Ethernet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Топология сети Fast Ethernet</w:t>
      </w:r>
    </w:p>
    <w:bookmarkEnd w:id="25"/>
    <w:bookmarkStart w:id="26" w:name="варианты-заданий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Варианты заданий</w:t>
      </w:r>
    </w:p>
    <w:p>
      <w:pPr>
        <w:pStyle w:val="FirstParagraph"/>
      </w:pPr>
      <w:r>
        <w:t xml:space="preserve">Для анализа было предложено шесть вариантов, отличающихся длинами отдельных сегментов сети. Данные приведены в таблице.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"/>
        <w:gridCol w:w="1262"/>
        <w:gridCol w:w="1262"/>
        <w:gridCol w:w="1262"/>
        <w:gridCol w:w="1262"/>
        <w:gridCol w:w="1262"/>
        <w:gridCol w:w="1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96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92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80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97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97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85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85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98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60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100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70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65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4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80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60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100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70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98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70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100 м</w:t>
            </w:r>
          </w:p>
        </w:tc>
      </w:tr>
    </w:tbl>
    <w:bookmarkEnd w:id="26"/>
    <w:bookmarkStart w:id="57" w:name="анализ-работоспособности-сет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работоспособности сети</w:t>
      </w:r>
    </w:p>
    <w:p>
      <w:pPr>
        <w:pStyle w:val="FirstParagraph"/>
      </w:pPr>
      <w:r>
        <w:t xml:space="preserve">Оценка работоспособности выполнялась двумя методами:</w:t>
      </w:r>
      <w:r>
        <w:t xml:space="preserve"> </w:t>
      </w:r>
      <w:r>
        <w:t xml:space="preserve">- по максимальной суммарной длине пути между терминалами;</w:t>
      </w:r>
      <w:r>
        <w:t xml:space="preserve"> </w:t>
      </w:r>
      <w:r>
        <w:t xml:space="preserve">- по расчёту суммарной задержки распространения сигнала с учётом всех элементов сети.</w:t>
      </w:r>
    </w:p>
    <w:bookmarkStart w:id="31" w:name="вариант-1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Вариант 1</w:t>
      </w:r>
    </w:p>
    <w:p>
      <w:pPr>
        <w:pStyle w:val="CaptionedFigure"/>
      </w:pPr>
      <w:bookmarkStart w:id="30" w:name="fig:002"/>
      <w:r>
        <w:drawing>
          <wp:inline>
            <wp:extent cx="5334000" cy="2491483"/>
            <wp:effectExtent b="0" l="0" r="0" t="0"/>
            <wp:docPr descr="Рис. 2: Топология сети Fast Ethernet" title="" id="28" name="Picture"/>
            <a:graphic>
              <a:graphicData uri="http://schemas.openxmlformats.org/drawingml/2006/picture">
                <pic:pic>
                  <pic:nvPicPr>
                    <pic:cNvPr descr="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1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Топология сети Fast Ethernet</w:t>
      </w:r>
    </w:p>
    <w:p>
      <w:pPr>
        <w:pStyle w:val="BodyText"/>
      </w:pPr>
      <w:r>
        <w:rPr>
          <w:bCs/>
          <w:b/>
        </w:rPr>
        <w:t xml:space="preserve">Модель по длине сегментов.</w:t>
      </w:r>
      <w:r>
        <w:br/>
      </w:r>
      <w:r>
        <w:t xml:space="preserve">Наибольшая длина соединения формируется по маршруту 1–4–5 (или 1–4–6) и составляет 198 м. Данное значение не превышает предельно допустимую длину 205 м для конфигурации с двумя повторителями класса II, что позволяет сделать вывод о работоспособности сети.</w:t>
      </w:r>
    </w:p>
    <w:p>
      <w:pPr>
        <w:pStyle w:val="BodyText"/>
      </w:pPr>
      <w:r>
        <w:rPr>
          <w:bCs/>
          <w:b/>
        </w:rPr>
        <w:t xml:space="preserve">Модель по задержкам.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 терминалов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1 (96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106,752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4 (5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5 (97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107,864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(+4 резерв)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508,176</w:t>
            </w:r>
          </w:p>
        </w:tc>
      </w:tr>
    </w:tbl>
    <w:p>
      <w:pPr>
        <w:pStyle w:val="BodyText"/>
      </w:pPr>
      <w:r>
        <w:t xml:space="preserve">Рассчитанная суммарная задержка укладывается в допустимые пределы, следовательно, сеть является работоспособной.</w:t>
      </w:r>
    </w:p>
    <w:bookmarkEnd w:id="31"/>
    <w:bookmarkStart w:id="36" w:name="вариант-2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Вариант 2</w:t>
      </w:r>
    </w:p>
    <w:p>
      <w:pPr>
        <w:pStyle w:val="CaptionedFigure"/>
      </w:pPr>
      <w:bookmarkStart w:id="35" w:name="fig:003"/>
      <w:r>
        <w:drawing>
          <wp:inline>
            <wp:extent cx="5334000" cy="2482921"/>
            <wp:effectExtent b="0" l="0" r="0" t="0"/>
            <wp:docPr descr="Рис. 3: Топология сети Fast Ethernet" title="" id="33" name="Picture"/>
            <a:graphic>
              <a:graphicData uri="http://schemas.openxmlformats.org/drawingml/2006/picture">
                <pic:pic>
                  <pic:nvPicPr>
                    <pic:cNvPr descr="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Топология сети Fast Ethernet</w:t>
      </w:r>
    </w:p>
    <w:p>
      <w:pPr>
        <w:pStyle w:val="BodyText"/>
      </w:pPr>
      <w:r>
        <w:rPr>
          <w:bCs/>
          <w:b/>
        </w:rPr>
        <w:t xml:space="preserve">Модель по длине сегментов.</w:t>
      </w:r>
      <w:r>
        <w:br/>
      </w:r>
      <w:r>
        <w:t xml:space="preserve">Максимальная длина соединения через сегменты 1–4–6 равна 283 м, что превышает нормативное значение. По данному критерию сеть признаётся неработоспособной.</w:t>
      </w:r>
    </w:p>
    <w:p>
      <w:pPr>
        <w:pStyle w:val="BodyText"/>
      </w:pPr>
      <w:r>
        <w:rPr>
          <w:bCs/>
          <w:b/>
        </w:rPr>
        <w:t xml:space="preserve">Модель по задержкам.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 терминалов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1 (95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4 (90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6 (98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108,976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(+4 резерв)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602,696</w:t>
            </w:r>
          </w:p>
        </w:tc>
      </w:tr>
    </w:tbl>
    <w:p>
      <w:pPr>
        <w:pStyle w:val="BodyText"/>
      </w:pPr>
      <w:r>
        <w:t xml:space="preserve">Суммарная задержка превышает допустимый порог, что подтверждает неработоспособность сети.</w:t>
      </w:r>
    </w:p>
    <w:bookmarkEnd w:id="36"/>
    <w:bookmarkStart w:id="41" w:name="вариант-3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Вариант 3</w:t>
      </w:r>
    </w:p>
    <w:p>
      <w:pPr>
        <w:pStyle w:val="CaptionedFigure"/>
      </w:pPr>
      <w:bookmarkStart w:id="40" w:name="fig:004"/>
      <w:r>
        <w:drawing>
          <wp:inline>
            <wp:extent cx="5334000" cy="2448674"/>
            <wp:effectExtent b="0" l="0" r="0" t="0"/>
            <wp:docPr descr="Рис. 4: Топология сети Fast Ethernet" title="" id="38" name="Picture"/>
            <a:graphic>
              <a:graphicData uri="http://schemas.openxmlformats.org/drawingml/2006/picture">
                <pic:pic>
                  <pic:nvPicPr>
                    <pic:cNvPr descr="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8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Топология сети Fast Ethernet</w:t>
      </w:r>
    </w:p>
    <w:p>
      <w:pPr>
        <w:pStyle w:val="BodyText"/>
      </w:pPr>
      <w:r>
        <w:rPr>
          <w:bCs/>
          <w:b/>
        </w:rPr>
        <w:t xml:space="preserve">Модель по длине сегментов.</w:t>
      </w:r>
      <w:r>
        <w:br/>
      </w:r>
      <w:r>
        <w:t xml:space="preserve">Наибольшая длина соединения составляет 200 м (маршрут 2–4–6), что не превышает допустимое значение. Сеть удовлетворяет требованиям стандарта.</w:t>
      </w:r>
    </w:p>
    <w:p>
      <w:pPr>
        <w:pStyle w:val="BodyText"/>
      </w:pPr>
      <w:r>
        <w:rPr>
          <w:bCs/>
          <w:b/>
        </w:rPr>
        <w:t xml:space="preserve">Модель по задержкам.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 терминалов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2 (95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4 (5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6 (100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(+4 резерв)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510,4</w:t>
            </w:r>
          </w:p>
        </w:tc>
      </w:tr>
    </w:tbl>
    <w:p>
      <w:pPr>
        <w:pStyle w:val="BodyText"/>
      </w:pPr>
      <w:r>
        <w:t xml:space="preserve">Расчёт подтверждает работоспособность сети.</w:t>
      </w:r>
    </w:p>
    <w:bookmarkEnd w:id="41"/>
    <w:bookmarkStart w:id="46" w:name="вариант-4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Вариант 4</w:t>
      </w:r>
    </w:p>
    <w:p>
      <w:pPr>
        <w:pStyle w:val="CaptionedFigure"/>
      </w:pPr>
      <w:bookmarkStart w:id="45" w:name="fig:005"/>
      <w:r>
        <w:drawing>
          <wp:inline>
            <wp:extent cx="5334000" cy="2517168"/>
            <wp:effectExtent b="0" l="0" r="0" t="0"/>
            <wp:docPr descr="Рис. 5: Топология сети Fast Ethernet" title="" id="43" name="Picture"/>
            <a:graphic>
              <a:graphicData uri="http://schemas.openxmlformats.org/drawingml/2006/picture">
                <pic:pic>
                  <pic:nvPicPr>
                    <pic:cNvPr descr="0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5: Топология сети Fast Ethernet</w:t>
      </w:r>
    </w:p>
    <w:p>
      <w:pPr>
        <w:pStyle w:val="BodyText"/>
      </w:pPr>
      <w:r>
        <w:rPr>
          <w:bCs/>
          <w:b/>
        </w:rPr>
        <w:t xml:space="preserve">Модель по длине сегментов.</w:t>
      </w:r>
      <w:r>
        <w:br/>
      </w:r>
      <w:r>
        <w:t xml:space="preserve">Максимальная длина пути равна 164 м, что существенно ниже предельного значения. Сеть работоспособна.</w:t>
      </w:r>
    </w:p>
    <w:p>
      <w:pPr>
        <w:pStyle w:val="BodyText"/>
      </w:pPr>
      <w:r>
        <w:rPr>
          <w:bCs/>
          <w:b/>
        </w:rPr>
        <w:t xml:space="preserve">Модель по задержкам.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 терминалов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1 (70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4 (4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5 (90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(+4 резерв)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470,368</w:t>
            </w:r>
          </w:p>
        </w:tc>
      </w:tr>
    </w:tbl>
    <w:p>
      <w:pPr>
        <w:pStyle w:val="BodyText"/>
      </w:pPr>
      <w:r>
        <w:t xml:space="preserve">Полученное значение укладывается в нормативные ограничения.</w:t>
      </w:r>
    </w:p>
    <w:bookmarkEnd w:id="46"/>
    <w:bookmarkStart w:id="51" w:name="вариант-5"/>
    <w:p>
      <w:pPr>
        <w:pStyle w:val="Heading3"/>
      </w:pPr>
      <w:r>
        <w:rPr>
          <w:rStyle w:val="SectionNumber"/>
        </w:rPr>
        <w:t xml:space="preserve">2.3.5</w:t>
      </w:r>
      <w:r>
        <w:tab/>
      </w:r>
      <w:r>
        <w:t xml:space="preserve">Вариант 5</w:t>
      </w:r>
    </w:p>
    <w:p>
      <w:pPr>
        <w:pStyle w:val="CaptionedFigure"/>
      </w:pPr>
      <w:bookmarkStart w:id="50" w:name="fig:006"/>
      <w:r>
        <w:drawing>
          <wp:inline>
            <wp:extent cx="5334000" cy="2440112"/>
            <wp:effectExtent b="0" l="0" r="0" t="0"/>
            <wp:docPr descr="Рис. 6: Топология сети Fast Ethernet" title="" id="48" name="Picture"/>
            <a:graphic>
              <a:graphicData uri="http://schemas.openxmlformats.org/drawingml/2006/picture">
                <pic:pic>
                  <pic:nvPicPr>
                    <pic:cNvPr descr="0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0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6: Топология сети Fast Ethernet</w:t>
      </w:r>
    </w:p>
    <w:p>
      <w:pPr>
        <w:pStyle w:val="BodyText"/>
      </w:pPr>
      <w:r>
        <w:rPr>
          <w:bCs/>
          <w:b/>
        </w:rPr>
        <w:t xml:space="preserve">Модель по длине сегментов.</w:t>
      </w:r>
      <w:r>
        <w:br/>
      </w:r>
      <w:r>
        <w:t xml:space="preserve">Суммарная длина соединения по маршруту 2–4–6 составляет 210 м, что превышает допустимый предел. Сеть неработоспособна.</w:t>
      </w:r>
    </w:p>
    <w:p>
      <w:pPr>
        <w:pStyle w:val="BodyText"/>
      </w:pPr>
      <w:r>
        <w:rPr>
          <w:bCs/>
          <w:b/>
        </w:rPr>
        <w:t xml:space="preserve">Модель по задержкам.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 терминалов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2 (95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4 (15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6 (100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(+4 резерв)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521,52</w:t>
            </w:r>
          </w:p>
        </w:tc>
      </w:tr>
    </w:tbl>
    <w:p>
      <w:pPr>
        <w:pStyle w:val="BodyText"/>
      </w:pPr>
      <w:r>
        <w:t xml:space="preserve">Результат расчёта подтверждает вывод о неработоспособности сети.</w:t>
      </w:r>
    </w:p>
    <w:bookmarkEnd w:id="51"/>
    <w:bookmarkStart w:id="56" w:name="вариант-6"/>
    <w:p>
      <w:pPr>
        <w:pStyle w:val="Heading3"/>
      </w:pPr>
      <w:r>
        <w:rPr>
          <w:rStyle w:val="SectionNumber"/>
        </w:rPr>
        <w:t xml:space="preserve">2.3.6</w:t>
      </w:r>
      <w:r>
        <w:tab/>
      </w:r>
      <w:r>
        <w:t xml:space="preserve">Вариант 6</w:t>
      </w:r>
    </w:p>
    <w:p>
      <w:pPr>
        <w:pStyle w:val="CaptionedFigure"/>
      </w:pPr>
      <w:bookmarkStart w:id="55" w:name="fig:007"/>
      <w:r>
        <w:drawing>
          <wp:inline>
            <wp:extent cx="5334000" cy="2508606"/>
            <wp:effectExtent b="0" l="0" r="0" t="0"/>
            <wp:docPr descr="Рис. 7: Топология сети Fast Ethernet" title="" id="53" name="Picture"/>
            <a:graphic>
              <a:graphicData uri="http://schemas.openxmlformats.org/drawingml/2006/picture">
                <pic:pic>
                  <pic:nvPicPr>
                    <pic:cNvPr descr="0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8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7: Топология сети Fast Ethernet</w:t>
      </w:r>
    </w:p>
    <w:p>
      <w:pPr>
        <w:pStyle w:val="BodyText"/>
      </w:pPr>
      <w:r>
        <w:rPr>
          <w:bCs/>
          <w:b/>
        </w:rPr>
        <w:t xml:space="preserve">Модель по длине сегментов.</w:t>
      </w:r>
      <w:r>
        <w:br/>
      </w:r>
      <w:r>
        <w:t xml:space="preserve">Максимальная длина соединения составляет 207 м, что превышает допустимое значение для заданной конфигурации. Сеть неработоспособна.</w:t>
      </w:r>
    </w:p>
    <w:p>
      <w:pPr>
        <w:pStyle w:val="BodyText"/>
      </w:pPr>
      <w:r>
        <w:rPr>
          <w:bCs/>
          <w:b/>
        </w:rPr>
        <w:t xml:space="preserve">Модель по задержкам.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 терминалов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2 (98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108,976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4 (9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6 (100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(+4 резерв)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518,184</w:t>
            </w:r>
          </w:p>
        </w:tc>
      </w:tr>
    </w:tbl>
    <w:p>
      <w:pPr>
        <w:pStyle w:val="BodyText"/>
      </w:pPr>
      <w:r>
        <w:t xml:space="preserve">Превышение допустимой задержки подтверждает невозможность корректной работы сети.</w:t>
      </w:r>
    </w:p>
    <w:bookmarkEnd w:id="56"/>
    <w:bookmarkEnd w:id="57"/>
    <w:bookmarkEnd w:id="58"/>
    <w:bookmarkStart w:id="59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изучены особенности технологий</w:t>
      </w:r>
      <w:r>
        <w:t xml:space="preserve"> </w:t>
      </w:r>
      <w:r>
        <w:rPr>
          <w:bCs/>
          <w:b/>
        </w:rPr>
        <w:t xml:space="preserve">Ethernet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 Ethernet</w:t>
      </w:r>
      <w:r>
        <w:t xml:space="preserve">, а также на практике применены две методики оценки работоспособности сетей Fast Ethernet. Для каждого варианта выполнен анализ ограничений по длине сегментов и задержке распространения сигнала. Полученные результаты позволили обоснованно определить работоспособность или неработоспособность сети в зависимости от заданной конфигурации и параметров физической среды передачи данных.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Элсаиед Адел</dc:creator>
  <dc:language>ru-RU</dc:language>
  <cp:keywords/>
  <dcterms:created xsi:type="dcterms:W3CDTF">2026-01-18T10:51:20Z</dcterms:created>
  <dcterms:modified xsi:type="dcterms:W3CDTF">2026-01-18T10:51:20Z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onofont">
    <vt:lpwstr>IBM Plex Mono</vt:lpwstr>
  </property>
  <property fmtid="{D5CDD505-2E9C-101B-9397-08002B2CF9AE}" pid="55" name="monofontoptions">
    <vt:lpwstr>Scale=MatchLowercase,Scale=0.94,FakeStretch=0.9</vt:lpwstr>
  </property>
  <property fmtid="{D5CDD505-2E9C-101B-9397-08002B2CF9AE}" pid="56" name="nameInLink">
    <vt:lpwstr>False</vt:lpwstr>
  </property>
  <property fmtid="{D5CDD505-2E9C-101B-9397-08002B2CF9AE}" pid="57" name="numberSections">
    <vt:lpwstr>False</vt:lpwstr>
  </property>
  <property fmtid="{D5CDD505-2E9C-101B-9397-08002B2CF9AE}" pid="58" name="pairDelim">
    <vt:lpwstr>, </vt:lpwstr>
  </property>
  <property fmtid="{D5CDD505-2E9C-101B-9397-08002B2CF9AE}" pid="59" name="papersize">
    <vt:lpwstr>a</vt:lpwstr>
  </property>
  <property fmtid="{D5CDD505-2E9C-101B-9397-08002B2CF9AE}" pid="60" name="polyglossia-lang">
    <vt:lpwstr/>
  </property>
  <property fmtid="{D5CDD505-2E9C-101B-9397-08002B2CF9AE}" pid="61" name="polyglossia-otherlangs">
    <vt:lpwstr/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romanfont">
    <vt:lpwstr>IBM Plex Serif</vt:lpwstr>
  </property>
  <property fmtid="{D5CDD505-2E9C-101B-9397-08002B2CF9AE}" pid="66" name="romanfontoptions">
    <vt:lpwstr>Ligatures=Common,Ligatures=TeX,Scale=0.94</vt:lpwstr>
  </property>
  <property fmtid="{D5CDD505-2E9C-101B-9397-08002B2CF9AE}" pid="67" name="sansfont">
    <vt:lpwstr>IBM Plex Sans</vt:lpwstr>
  </property>
  <property fmtid="{D5CDD505-2E9C-101B-9397-08002B2CF9AE}" pid="68" name="sansfontoptions">
    <vt:lpwstr>Ligatures=Common,Ligatures=TeX,Scale=MatchLowercase,Scale=0.94</vt:lpwstr>
  </property>
  <property fmtid="{D5CDD505-2E9C-101B-9397-08002B2CF9AE}" pid="69" name="secHeaderDelim">
    <vt:lpwstr> </vt:lpwstr>
  </property>
  <property fmtid="{D5CDD505-2E9C-101B-9397-08002B2CF9AE}" pid="70" name="secHeaderTemplate">
    <vt:lpwstr>isecHeaderDelim[n]t</vt:lpwstr>
  </property>
  <property fmtid="{D5CDD505-2E9C-101B-9397-08002B2CF9AE}" pid="71" name="secLabels">
    <vt:lpwstr>arabic</vt:lpwstr>
  </property>
  <property fmtid="{D5CDD505-2E9C-101B-9397-08002B2CF9AE}" pid="72" name="secPrefix">
    <vt:lpwstr/>
  </property>
  <property fmtid="{D5CDD505-2E9C-101B-9397-08002B2CF9AE}" pid="73" name="secPrefixTemplate">
    <vt:lpwstr>p i</vt:lpwstr>
  </property>
  <property fmtid="{D5CDD505-2E9C-101B-9397-08002B2CF9AE}" pid="74" name="sectionsDepth">
    <vt:lpwstr>0</vt:lpwstr>
  </property>
  <property fmtid="{D5CDD505-2E9C-101B-9397-08002B2CF9AE}" pid="75" name="subfigGrid">
    <vt:lpwstr>False</vt:lpwstr>
  </property>
  <property fmtid="{D5CDD505-2E9C-101B-9397-08002B2CF9AE}" pid="76" name="subfigLabels">
    <vt:lpwstr>alpha a</vt:lpwstr>
  </property>
  <property fmtid="{D5CDD505-2E9C-101B-9397-08002B2CF9AE}" pid="77" name="subfigureChildTemplate">
    <vt:lpwstr>i</vt:lpwstr>
  </property>
  <property fmtid="{D5CDD505-2E9C-101B-9397-08002B2CF9AE}" pid="78" name="subfigureRefIndexTemplate">
    <vt:lpwstr>isuf (s)</vt:lpwstr>
  </property>
  <property fmtid="{D5CDD505-2E9C-101B-9397-08002B2CF9AE}" pid="79" name="subfigureTemplate">
    <vt:lpwstr>figureTitle ititleDelim t. ccs</vt:lpwstr>
  </property>
  <property fmtid="{D5CDD505-2E9C-101B-9397-08002B2CF9AE}" pid="80" name="subtitle">
    <vt:lpwstr>Исследование работоспособности сети Fast Ethernet</vt:lpwstr>
  </property>
  <property fmtid="{D5CDD505-2E9C-101B-9397-08002B2CF9AE}" pid="81" name="tableEqns">
    <vt:lpwstr>False</vt:lpwstr>
  </property>
  <property fmtid="{D5CDD505-2E9C-101B-9397-08002B2CF9AE}" pid="82" name="tableTemplate">
    <vt:lpwstr>tableTitle ititleDelim t</vt:lpwstr>
  </property>
  <property fmtid="{D5CDD505-2E9C-101B-9397-08002B2CF9AE}" pid="83" name="tableTitle">
    <vt:lpwstr>Таблица</vt:lpwstr>
  </property>
  <property fmtid="{D5CDD505-2E9C-101B-9397-08002B2CF9AE}" pid="84" name="tblLabels">
    <vt:lpwstr>arabic</vt:lpwstr>
  </property>
  <property fmtid="{D5CDD505-2E9C-101B-9397-08002B2CF9AE}" pid="85" name="tblPrefix">
    <vt:lpwstr/>
  </property>
  <property fmtid="{D5CDD505-2E9C-101B-9397-08002B2CF9AE}" pid="86" name="tblPrefixTemplate">
    <vt:lpwstr>p i</vt:lpwstr>
  </property>
  <property fmtid="{D5CDD505-2E9C-101B-9397-08002B2CF9AE}" pid="87" name="titleDelim">
    <vt:lpwstr>:</vt:lpwstr>
  </property>
  <property fmtid="{D5CDD505-2E9C-101B-9397-08002B2CF9AE}" pid="88" name="toc">
    <vt:lpwstr>True</vt:lpwstr>
  </property>
  <property fmtid="{D5CDD505-2E9C-101B-9397-08002B2CF9AE}" pid="89" name="toc-depth">
    <vt:lpwstr>2</vt:lpwstr>
  </property>
  <property fmtid="{D5CDD505-2E9C-101B-9397-08002B2CF9AE}" pid="90" name="toc-title">
    <vt:lpwstr>Содержание</vt:lpwstr>
  </property>
</Properties>
</file>