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0000"/>
          <w:sz w:val="46"/>
        </w:rPr>
        <w:t>Effect-Safe Agent Runtime</w:t>
      </w:r>
    </w:p>
    <w:p>
      <w:pPr>
        <w:spacing w:before="0" w:after="280"/>
      </w:pPr>
      <w:r>
        <w:rPr>
          <w:rFonts w:ascii="Calibri" w:hAnsi="Calibri"/>
          <w:color w:val="555555"/>
          <w:sz w:val="26"/>
        </w:rPr>
        <w:t>Controlling persistent actions beyond the sandbox</w:t>
      </w:r>
    </w:p>
    <w:p>
      <w:pPr>
        <w:spacing w:after="200"/>
      </w:pPr>
      <w:r>
        <w:rPr>
          <w:rFonts w:ascii="Calibri" w:hAnsi="Calibri"/>
          <w:sz w:val="22"/>
        </w:rPr>
        <w:t>Docker and Podman can contain local processes and files, but they cannot roll back effects committed to external systems: production databases, email, web services, payments, cloud infrastructure, or shared APIs.</w:t>
      </w:r>
    </w:p>
    <w:p>
      <w:pPr>
        <w:pStyle w:val="Heading1"/>
      </w:pPr>
      <w:r>
        <w:t>The failure</w:t>
      </w:r>
    </w:p>
    <w:p>
      <w:r>
        <w:t>A tool may complete externally while its response times out. If the agent interprets the timeout as failure and retries, it can send the same email, charge, deployment, or database update twice. “No success response” does not mean “nothing happened.”</w:t>
      </w:r>
    </w:p>
    <w:p>
      <w:pPr>
        <w:pStyle w:val="Heading1"/>
      </w:pPr>
      <w:r>
        <w:t>The solution</w:t>
      </w:r>
    </w:p>
    <w:p>
      <w:r>
        <w:t>Place an external-effect boundary between agents and effectful tools. Every proposed effect receives a stable identity and durable journal entry before Agency evaluates policy, obtains any required approval, executes once, verifies the external result, and records evidence. Ambiguous outcomes enter an UNKNOWN state and are reconciled rather than blindly retried.</w:t>
      </w:r>
    </w:p>
    <w:p>
      <w:pPr>
        <w:spacing w:before="80" w:after="200"/>
        <w:jc w:val="center"/>
      </w:pPr>
      <w:r>
        <w:rPr>
          <w:rFonts w:ascii="Calibri" w:hAnsi="Calibri"/>
          <w:b/>
          <w:color w:val="1F4D78"/>
          <w:sz w:val="21"/>
        </w:rPr>
        <w:t>PROPOSE → JOURNAL → POLICY → APPROVE → EXECUTE → VERIFY → RECONCILE</w:t>
      </w:r>
    </w:p>
    <w:p>
      <w:pPr>
        <w:pStyle w:val="Heading1"/>
      </w:pPr>
      <w:r>
        <w:t>Responsibilities</w:t>
      </w:r>
    </w:p>
    <w:p>
      <w:pPr>
        <w:ind w:left="259" w:hanging="259"/>
      </w:pPr>
      <w:r>
        <w:rPr>
          <w:rFonts w:ascii="Calibri" w:hAnsi="Calibri"/>
          <w:b/>
          <w:color w:val="1F4D78"/>
        </w:rPr>
        <w:t>Policy:</w:t>
      </w:r>
      <w:r>
        <w:rPr>
          <w:rFonts w:ascii="Calibri" w:hAnsi="Calibri"/>
        </w:rPr>
        <w:t xml:space="preserve"> deterministically allows, denies, or requires approval based on identity, target, risk, sensitivity, cost, and reversibility.</w:t>
      </w:r>
    </w:p>
    <w:p>
      <w:pPr>
        <w:ind w:left="259" w:hanging="259"/>
      </w:pPr>
      <w:r>
        <w:rPr>
          <w:rFonts w:ascii="Calibri" w:hAnsi="Calibri"/>
          <w:b/>
          <w:color w:val="1F4D78"/>
        </w:rPr>
        <w:t>Approval:</w:t>
      </w:r>
      <w:r>
        <w:rPr>
          <w:rFonts w:ascii="Calibri" w:hAnsi="Calibri"/>
        </w:rPr>
        <w:t xml:space="preserve"> authorizes the exact normalized effect—not a general permission—and expires if its parameters change.</w:t>
      </w:r>
    </w:p>
    <w:p>
      <w:pPr>
        <w:ind w:left="259" w:hanging="259"/>
      </w:pPr>
      <w:r>
        <w:rPr>
          <w:rFonts w:ascii="Calibri" w:hAnsi="Calibri"/>
          <w:b/>
          <w:color w:val="1F4D78"/>
        </w:rPr>
        <w:t>Effect runtime:</w:t>
      </w:r>
      <w:r>
        <w:rPr>
          <w:rFonts w:ascii="Calibri" w:hAnsi="Calibri"/>
        </w:rPr>
        <w:t xml:space="preserve"> provides idempotency, durable state, postcondition checks, compensation where possible, and reconciliation after uncertain failures.</w:t>
      </w:r>
    </w:p>
    <w:p>
      <w:pPr>
        <w:keepLines/>
        <w:spacing w:before="160" w:after="0"/>
        <w:ind w:left="259" w:right="259"/>
        <w:shd w:fill="F4F6F9"/>
      </w:pPr>
      <w:r>
        <w:rPr>
          <w:rFonts w:ascii="Calibri" w:hAnsi="Calibri"/>
          <w:b/>
          <w:color w:val="1F3A5F"/>
        </w:rPr>
        <w:t xml:space="preserve">Core rule: </w:t>
      </w:r>
      <w:r>
        <w:rPr>
          <w:rFonts w:ascii="Calibri" w:hAnsi="Calibri"/>
          <w:b/>
          <w:color w:val="1F3A5F"/>
        </w:rPr>
        <w:t>Sandbox what can be contained; authorize, journal, verify, and reconcile what cannot.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Effect-Safe Agent Runtime</dc:title>
  <dc:subject>Agency external-effect safety concept</dc:subject>
  <dc:creator>Agency</dc:creator>
  <cp:keywords/>
  <dc:description>generated by python-docx</dc:description>
  <cp:lastModifiedBy/>
  <cp:revision>1</cp:revision>
  <dcterms:created xsi:type="dcterms:W3CDTF">2013-12-23T23:15:00Z</dcterms:created>
  <dcterms:modified xsi:type="dcterms:W3CDTF">2013-12-23T23:15:00Z</dcterms:modified>
  <cp:category/>
</cp:coreProperties>
</file>