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in Section 5.4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632248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322480"/>
                    </a:xfrm>
                    <a:prstGeom prst="rect"/>
                  </pic:spPr>
                </pic:pic>
              </a:graphicData>
            </a:graphic>
          </wp:inline>
        </w:drawing>
      </w:r>
    </w:p>
    <w:p>
      <w:pPr>
        <w:pStyle w:val="FigureCaption"/>
      </w:pPr>
      <w:r>
        <w:rPr>
          <w:b/>
        </w:rPr>
        <w:t>Figure 1.</w:t>
      </w:r>
      <w:r>
        <w:t xml:space="preserve"> </w:t>
      </w:r>
      <w:r>
        <w:rPr>
          <w:i/>
        </w:rPr>
        <w:t>Simplified flow diagram of the study-selection process, reported with reference to PRISMA 2020.</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