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r>
        <w:fldChar w:fldCharType="begin" w:dirty="true"/>
      </w:r>
      <w:r>
        <w:instrText xml:space="preserve"> TOC \o "1-3" \h \z \u </w:instrText>
      </w:r>
      <w:r>
        <w:fldChar w:fldCharType="separate"/>
      </w:r>
      <w:r>
        <w:t xml:space="preserve">Right-click and choose "Update Field" to generate the Table of Contents.</w:t>
      </w:r>
      <w:r>
        <w:fldChar w:fldCharType="end"/>
      </w:r>
    </w:p>
    <w:p>
      <w:pPr>
        <w:pStyle w:val="Heading1"/>
      </w:pPr>
      <w:r>
        <w:t>List of Figures</w:t>
      </w:r>
    </w:p>
    <w:p>
      <w:r>
        <w:fldChar w:fldCharType="begin" w:dirty="true"/>
      </w:r>
      <w:r>
        <w:instrText xml:space="preserve"> TOC \h \z \t "FigureCaption,1" </w:instrText>
      </w:r>
      <w:r>
        <w:fldChar w:fldCharType="separate"/>
      </w:r>
      <w:r>
        <w:t xml:space="preserve">Right-click and choose "Update Field" to generate the List of Figures.</w:t>
      </w:r>
      <w:r>
        <w:fldChar w:fldCharType="end"/>
      </w:r>
    </w:p>
    <w:p>
      <w:pPr>
        <w:pStyle w:val="Heading1"/>
      </w:pPr>
      <w:r>
        <w:t>List of Tables</w:t>
      </w:r>
    </w:p>
    <w:p>
      <w:r>
        <w:fldChar w:fldCharType="begin" w:dirty="true"/>
      </w:r>
      <w:r>
        <w:instrText xml:space="preserve"> TOC \h \z \t "TableCaption,1" </w:instrText>
      </w:r>
      <w:r>
        <w:fldChar w:fldCharType="separate"/>
      </w:r>
      <w:r>
        <w:t xml:space="preserve">Right-click and choose "Update Field" to generate the List of Tables.</w:t>
      </w:r>
      <w:r>
        <w:fldChar w:fldCharType="end"/>
      </w:r>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r>
        <w:br w:type="page"/>
      </w:r>
    </w:p>
    <w:p>
      <w:pPr>
        <w:pStyle w:val="Heading1"/>
      </w:pPr>
      <w:r>
        <w:t>2 Literature Review</w:t>
      </w:r>
    </w:p>
    <w:p>
      <w:r>
        <w:t>This chapter lays the conceptual and theoretical groundwork for the study. Reshoring has developed into an active research field over the past decade, but its growth has come with two complications that matter directly for this thesis. The first is terminological: the vocabulary of relocation — reshoring, backshoring, nearshoring, re-offshoring — has been applied inconsistently across studies, so a precise definition is a precondition for any meaningful synthesis (Tsai &amp; Urmetzer, 2024). The second is theoretical: the field has no single unifying theory, and individual studies interpret the phenomenon through different lenses (Wiesmann et al., 2017). A review that ignores either complication risks combining findings that are not actually about the same phenomenon, or reading them through an unstated theoretical frame.</w:t>
      </w:r>
    </w:p>
    <w:p>
      <w:r>
        <w:t>Both complications shape the structure of this chapter. Section 2.1 clarifies the concept of reshoring and separates it from neighbouring forms of relocation that fall outside the scope of this thesis. Section 2.2 presents the two theoretical perspectives used to interpret the results, Transaction Cost Economics and the Resource-Based View. Section 2.3 draws the distinction between the drivers of reshoring and the implementation barriers that are the subject of this study, and Section 2.4 reviews the existing knowledge on reshoring barriers and identifies the research gap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and expert-based decision analysis has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r>
        <w:br w:type="page"/>
      </w:r>
    </w:p>
    <w:p>
      <w:pPr>
        <w:pStyle w:val="Heading1"/>
      </w:pPr>
      <w:r>
        <w:t>3 Research Methodology</w:t>
      </w:r>
    </w:p>
    <w:p>
      <w:r>
        <w:t>This chapter outlines how the study was designed and carried out. Because the thesis asks a question about existing evidence — what barriers manufacturing firms face when implementing reshoring from Asian markets — rather than a question requiring new company data, the value of the answer depends on how the existing studies were found, selected, and analysed. The credibility of a literature-based synthesis rests on making that process transparent enough for the reader to judge it (Snyder, 2019).</w:t>
      </w:r>
    </w:p>
    <w:p>
      <w:r>
        <w:t>The chapter therefore documents the three steps on which the synthesis is built. Section 3.1 explains why a systematic literature review is the appropriate design for the research questions. Section 3.2 describes the literature search and the criteria used to select the analytical sample, summarised in the flow diagram in Figure 1. Section 3.3 explains how the findings of the included studies were coded into barrier themes and how those themes were organised within the four categories of the firm-level framework, illustrated in Table 1. Methodological limitations are discussed in Section 5.4 alongside the findings to which they relate.</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To be included in the analytical sample, a study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summarised in Figure 1.</w:t>
      </w:r>
    </w:p>
    <w:p>
      <w:pPr>
        <w:spacing w:line="240" w:lineRule="auto"/>
        <w:jc w:val="center"/>
      </w:pPr>
      <w:r>
        <w:drawing>
          <wp:inline xmlns:a="http://schemas.openxmlformats.org/drawingml/2006/main" xmlns:pic="http://schemas.openxmlformats.org/drawingml/2006/picture">
            <wp:extent cx="5669280" cy="6322480"/>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322480"/>
                    </a:xfrm>
                    <a:prstGeom prst="rect"/>
                  </pic:spPr>
                </pic:pic>
              </a:graphicData>
            </a:graphic>
          </wp:inline>
        </w:drawing>
      </w:r>
    </w:p>
    <w:p>
      <w:pPr>
        <w:pStyle w:val="FigureCaption"/>
      </w:pPr>
      <w:r>
        <w:rPr>
          <w:b/>
        </w:rPr>
        <w:t>Figure 1.</w:t>
      </w:r>
      <w:r>
        <w:t xml:space="preserve"> </w:t>
      </w:r>
      <w:r>
        <w:rPr>
          <w:i/>
        </w:rPr>
        <w:t>Simplified flow diagram of the study-selection process, reported with reference to PRISMA 2020.</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Results and Discussion chapters to interpret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Chapter 4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next chapter presents the eighteen barrier themes identified through this process and organises them within the four categories of the firm-level framework.</w:t>
      </w:r>
    </w:p>
    <w:p>
      <w:r>
        <w:br w:type="page"/>
      </w:r>
    </w:p>
    <w:p>
      <w:pPr>
        <w:pStyle w:val="Heading1"/>
      </w:pPr>
      <w:r>
        <w:t>4 Results</w:t>
      </w:r>
    </w:p>
    <w:p>
      <w:r>
        <w:t>This chapter reports what the reviewed literature shows about the barriers manufacturing firms face when implementing reshoring from Asian markets. Two reading rules apply throughout the chapter. First, the three types of evidence — direct empirical findings, review-reported findings, and conceptual arguments — are kept apart, because a case observation, a review finding, and a conceptual argument do not support a claim in the same way. Second, findings are attributed to an Asian host country only where a study explicitly makes that link; evidence that is general in scope is reported as general.</w:t>
      </w:r>
    </w:p>
    <w:p>
      <w:r>
        <w:t>The chapter proceeds from the evidence base to the barriers themselves. Section 4.1 describes the analytical sample and presents the overview of all eighteen barrier themes in Table 2. Sections 4.2 to 4.5 then report the barriers by framework category, ending with the asset/capability category, which has the broadest support in the reviewed literature.</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A third supporting empirical study (Robinson &amp; Hsieh, 2016) provides only contextual evidence. The evidence from literature is derived from six sources (Pedroletti &amp; Ciabuschi, 2023; Wiesmann et al., 2017; Espíndola et al., 2023; Di Stefano &amp; Fratocchi, 2019; Ocicka, 2016; Bilbao-Ubillos et al., 2024), while conceptual argument comes from two further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r>
        <w:br w:type="page"/>
      </w:r>
    </w:p>
    <w:p>
      <w:pPr>
        <w:pStyle w:val="Heading1"/>
      </w:pPr>
      <w:r>
        <w:t>5 Discussion</w:t>
      </w:r>
    </w:p>
    <w:p>
      <w:r>
        <w:t>This chapter interprets the eighteen barrier themes reported in Chapter 4. Reporting what the literature contains is only the first half of a synthesis; the second half is explaining what the findings mean for firms returning production from Asian host countries, how the barriers reinforce one another, and what follows from them in theoretical and managerial terms.</w:t>
      </w:r>
    </w:p>
    <w:p>
      <w:r>
        <w:t>Section 5.1 discusses the overall pattern of the results and the interactions between the barrier categories. Section 5.2 interprets the findings through Transaction Cost Economics and the Resource-Based View, and Section 5.3 derives the managerial implications that answer the second sub-question of the thesis. Section 5.4 sets out the limitations of the study and the research directions that follow from them. Throughout the chapter, interpretations made by this thesis are distinguished from findings reported by the original studies, and direct implementation evidence is given more analytical weight than review-level or conceptual evidence.</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(Chapter 4, Section 4.1); Table 1 (Chapter 3, Section 3.3)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