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The location of manufacturing abroad is one of the most debated issues in international business. Following several decades in which firms moved production to Asian host countries, an increasing number of manufacturers are considering, announcing, or attempting the opposite movement: reshoring, the return of previously offshored manufacturing activities from an Asian host country to the firm's home country. Macro-level evidence shows that relocation has long run in both directions, with offshoring and return movements occurring in parallel (Gao et al., 2022). The motives behind such returns have been explored in detail, but much less is known about what happens when companies actually try to make the move (Ocicka, 2016; Pedroletti &amp; Ciabuschi, 2023). This thesis addresses that question by systematically reviewing the literature on the barriers that manufacturing firms encounter when implementing reshoring strategies from Asian markets. The chapter first traces the development of offshore manufacturing in Asia and the changing conditions surrounding international production. It then identifies the implementation gap addressed by the study and formulates the research questions and objectives that guide the subsequent analysis.</w:t>
      </w:r>
    </w:p>
    <w:p>
      <w:pPr>
        <w:pStyle w:val="Heading2"/>
      </w:pPr>
      <w:r>
        <w:t>1.1 Background of the Study</w:t>
      </w:r>
    </w:p>
    <w:p>
      <w:r>
        <w:t>For decades, manufacturing firms from Europe and North America transferred production activities to Asian locations in pursuit of lower factor costs, with China in particular developing into the centre of global manufacturing networks. This location pattern, however, has never been static. Macro-level analyses of global manufacturing location show that offshoring, reshoring, and re-offshoring movements have occurred in parallel rather than in sequence, with production shifting between countries and industries throughout the period following the global financial crisis (Gao et al., 2022). Within Asia itself, rising production costs in China have pushed labour-intensive manufacturers to relocate activities towards Southeast Asian countries (Yang, 2016). Such intra-Asian relocation illustrates the pressure on established manufacturing configurations, but it does not constitute reshoring: production that moves from China to Vietnam remains offshore from the perspective of the Western home country.</w:t>
      </w:r>
    </w:p>
    <w:p>
      <w:r>
        <w:t>The risk environment surrounding Asian manufacturing has also changed. Geoeconomic fragmentation and trade tensions have raised concerns about supply-chain vulnerability, but reliance on Chinese inputs has remained persistent, with value chains frequently rerouted through third countries rather than eliminated (McCully &amp; Simola, 2024). Some of this adjustment has taken the form of substitution within Asia, with other Asian economies taking over stages of production that were previously concentrated in China (Xing et al., 2024). In Europe, the COVID-19 pandemic further fuelled the political and academic debate on reindustrialisation and strengthened interest in bringing manufacturing capacity back to home markets (Somoza Medina, 2022). These developments have shifted the location decision from a largely cost-based calculation towards a broader assessment of risk, resilience, and control.</w:t>
      </w:r>
    </w:p>
    <w:p>
      <w:r>
        <w:t>In this context, reshoring has become a topic of increasing interest for companies, policymakers, and academics. In home countries, particularly the United States, policy measures have actively encouraged the return of manufacturing (Bolter &amp; Robey, 2020). Recent survey evidence links reshoring decisions to Industry 4.0 adoption, pandemic experiences, and made-in effects (Stentoft et al., 2025), and firm-level research suggests that the likelihood of reshoring depends on home-country conditions (Wan et al., 2019). However, a decision to reshore does not necessarily mean that production is successfully returned. Implementation requires the firm to rebuild or reacquire manufacturing capacity, competences, and supplier relationships in the home country, and the literature has repeatedly pointed out that these implementation issues have received much less attention than the decision itself (Ocicka, 2016; Pedroletti &amp; Ciabuschi, 2023). It is precisely at this implementation stage that many of the practical difficulties of reshoring arise, which makes the barriers to implementation a relevant and timely object of study.</w:t>
      </w:r>
    </w:p>
    <w:p>
      <w:pPr>
        <w:pStyle w:val="Heading2"/>
      </w:pPr>
      <w:r>
        <w:t>1.2 Research Problem and Questions</w:t>
      </w:r>
    </w:p>
    <w:p>
      <w:r>
        <w:t>The reshoring literature has focused mainly on drivers, that is, the reasons why companies might want to bring production back to the home country. The implementation side of reshoring — the difficulties faced by a company when it prepares, transfers, rebuilds, integrates, and stabilises production at home — is less studied, and the available evidence on these barriers is scattered across individual studies (Ocicka, 2016; Pedroletti &amp; Ciabuschi, 2023). Furthermore, the evidence is rarely structured around the specific situation of firms returning from Asian host countries, even though Asia is the leading offshore manufacturing destination and the setting in which most reshoring projects originate. There is therefore no consolidated, firm-level account of the barriers that manufacturing firms face when they attempt to implement reshoring from Asian markets.</w:t>
      </w:r>
    </w:p>
    <w:p>
      <w:r>
        <w:t>This thesis aims to fill this gap by systematically reviewing and synthesising the existing literature. The study is guided by the following core research question:</w:t>
      </w:r>
    </w:p>
    <w:p>
      <w:r>
        <w:rPr>
          <w:b/>
        </w:rPr>
        <w:t>RQ:</w:t>
      </w:r>
      <w:r>
        <w:t xml:space="preserve"> What central barriers do manufacturing firms face when implementing reshoring strategies from Asian markets?</w:t>
      </w:r>
    </w:p>
    <w:p>
      <w:r>
        <w:t>Two sub-questions specify the analysis:</w:t>
      </w:r>
    </w:p>
    <w:p>
      <w:r>
        <w:rPr>
          <w:b/>
        </w:rPr>
        <w:t>SQ1:</w:t>
      </w:r>
      <w:r>
        <w:t xml:space="preserve"> How can the identified reshoring barriers be categorized into a systematic firm-level framework?</w:t>
      </w:r>
    </w:p>
    <w:p>
      <w:r>
        <w:rPr>
          <w:b/>
        </w:rPr>
        <w:t>SQ2:</w:t>
      </w:r>
      <w:r>
        <w:t xml:space="preserve"> What are the managerial implications for international businesses to mitigate these corporate barriers?</w:t>
      </w:r>
    </w:p>
    <w:p>
      <w:pPr>
        <w:pStyle w:val="Heading2"/>
      </w:pPr>
      <w:r>
        <w:t>1.3 Objectives of the Study</w:t>
      </w:r>
    </w:p>
    <w:p>
      <w:r>
        <w:t>The study pursues four objectives, which are aligned with the research questions. The first objective is to identify the barriers to reshoring implementation reported in the peer-reviewed literature; the thesis does not collect primary interview, survey, or company data, but instead uses a systematic literature review as its research method. The second objective is to categorise the identified barriers into a systematic firm-level framework of four categories: regulatory/institutional, cultural/organisational, cost/operational, and asset/capability barriers. The third objective is to interpret these barriers through two established theoretical perspectives, Transaction Cost Economics and the Resource-Based View, in order to explain why the return of production remains challenging even after the decision to reshore has been made. The fourth objective is to derive managerial implications that suggest how international businesses can anticipate and address these barriers when planning and implementing reshoring from Asian markets.</w:t>
      </w:r>
    </w:p>
    <w:p>
      <w:r>
        <w:t>In sum, this chapter has presented the shift from cost-based offshoring towards renewed interest in reshoring and has argued that the implementation of reshoring, not the decision alone, deserves systematic attention. The research problem, the research questions, and the objectives of the study have been formulated. The following chapter reviews the relevant literature: it defines reshoring and differentiates it from related relocation forms, presents the theoretical foundations of the study, and examines the current state of knowledge on reshoring barriers.</w:t>
      </w:r>
    </w:p>
    <w:p>
      <w:pPr>
        <w:pStyle w:val="Heading1"/>
      </w:pPr>
      <w:r>
        <w:t>2 Literature Review</w:t>
      </w:r>
    </w:p>
    <w:p>
      <w:r>
        <w:t>This chapter provides the conceptual and theoretical background for the study. It first defines reshoring and differentiates it from related forms of manufacturing relocation, before introducing Transaction Cost Economics and the Resource-Based View as the analytical lenses of the thesis. The chapter then distinguishes the drivers of reshoring from the implementation barriers that form the object of this study, and closes by reviewing what is currently known about reshoring barriers and identifying the research gap the thesis addresses.</w:t>
      </w:r>
    </w:p>
    <w:p>
      <w:pPr>
        <w:pStyle w:val="Heading2"/>
      </w:pPr>
      <w:r>
        <w:t>2.1 Defining Reshoring and Distinguishing Related Relocation Forms</w:t>
      </w:r>
    </w:p>
    <w:p>
      <w:r>
        <w:t>Research on manufacturing relocation has long been characterised by inconsistent terminology. Tsai and Urmetzer (2024), reviewing 158 studies on manufacturing relocation, note that concepts such as offshoring, reshoring, backshoring, and nearshoring have been used with conflicting meanings across industrial and regional contexts, and they consolidate the field into a single decisional framework in which reshoring serves as an umbrella term covering both relocation to the home country and relocation to a proximate country. This thesis adopts a deliberately narrower definition: reshoring is understood as the return of previously offshored manufacturing activities from an Asian host country to the firm's home country. Ocicka (2016) similarly characterises reshoring as the reversal of a prior offshoring decision, a definition that usefully emphasises two constitutive elements — there must have been an initial offshoring movement, and the activity must return home rather than merely move elsewhere.</w:t>
      </w:r>
    </w:p>
    <w:p>
      <w:r>
        <w:t>The narrower definition matters because several relocation patterns that superficially resemble reshoring fall outside it. Relocation from one foreign host to another — for instance from China to a lower-cost Asian country — leaves production offshore from the home country's perspective and therefore constitutes re-offshoring or diversification rather than reshoring. Nearshoring, in which production moves to a country closer to home without returning, is likewise excluded. Macro-level evidence indicates that these movements coexist: analyses of global manufacturing location between 2007 and 2014 document offshoring, reshoring, and re-offshoring occurring in parallel across countries and industries (Gao et al., 2022). Treating all of these patterns as reshoring would blur the phenomenon this thesis investigates, namely the specific difficulties of bringing production home.</w:t>
      </w:r>
    </w:p>
    <w:p>
      <w:r>
        <w:t>Beyond definition, recent research increasingly conceptualises reshoring as a process rather than a single decision. Pedroletti and Ciabuschi (2023) organise the literature into five sequential themes — antecedents, contingencies, decision, implementation, and outcome — and propose a research agenda for each. This process view is foundational for the present study, because it makes implementation visible as a distinct stage that begins after the decision to reshore has been taken and that carries its own difficulties. The same review indicates that the implementation stage has received comparatively little scholarly attention, a point taken up in Section 2.4.</w:t>
      </w:r>
    </w:p>
    <w:p>
      <w:pPr>
        <w:pStyle w:val="Heading2"/>
      </w:pPr>
      <w:r>
        <w:t>2.2 Theoretical Foundations: Transaction Cost Economics and the Resource-Based View</w:t>
      </w:r>
    </w:p>
    <w:p>
      <w:r>
        <w:t>The reshoring literature is based on a variety of theoretical approaches rather than a single unified theory; Wiesmann et al. (2017) observe that there is currently no consensus on a "theory of reshoring" and survey the theories used in previous studies. The lenses of individual studies vary: Li et al. (2025) draw on Dunning's eclectic paradigm for their empirical analysis, Pedroletti (2025) uses a business-network perspective from internationalisation-process theory, and D'Ambrosio and Lavoratori (2025) build on trade-theoretic work on de-globalisation and global value chains. Against this plural background, the present thesis adopts Transaction Cost Economics (TCE) and the Resource-Based View (RBV) as its two interpretive lenses, drawing on their original formulations (Williamson, 1985; Barney, 1991). These are used as the thesis's own analytical framework to organise and explain the barriers identified in the literature; where a reviewed study uses a different theory, the study's own framing is reported as such.</w:t>
      </w:r>
    </w:p>
    <w:p>
      <w:r>
        <w:t>Transaction Cost Economics, as developed by Williamson (1985), directs attention to the costs of organising economic activity across firm and country boundaries, emphasising asset specificity, contractual safeguards, and the governance of exchange relationships. Williamson did not study reshoring; the application of these concepts to the return of production is the interpretation developed in this thesis. From a TCE perspective, the exit side of implementation becomes visible: offshore arrangements embody committed investments and contractual obligations, and unwinding them carries real costs. Empirical findings consistent with this logic include strict host-country layoff regulations and locked investments that make a rapid exit difficult (Li et al., 2025), plant-closure fees and fiscal obligations reported in the review literature (Di Stefano &amp; Fratocchi, 2019), and the coordination burden that arises when production is split between home and host locations during a partial return (Pedroletti, 2025). Transaction-cost reasoning also points to hidden costs: Ocicka (2016) argues that sourcing decisions based on unit price alone systematically underestimate the total cost of offshore acquisition, and Boffelli et al. (2021) document how firms underestimate the operational adjustments that relocation requires.</w:t>
      </w:r>
    </w:p>
    <w:p>
      <w:r>
        <w:t>The Resource-Based View, grounded in Barney's (1991) argument that competitive advantage rests on resources that are valuable, rare, imperfectly imitable, and non-substitutable, sheds light on the arrival side of implementation. Through an RBV lens — again an application made by this thesis rather than by the original theory — the firm appears as a collection of resources and capabilities, and reshoring succeeds only if the firm can rebuild or reacquire the productive resources — skills, machinery, routines, and supplier relationships — that the home operation requires. The reshoring literature repeatedly reports exactly such capability constraints: the erosion of domestic manufacturing competences and capacity after prolonged offshoring (Wiesmann et al., 2017), the scarcity of specialised manpower encountered by returning firms (Di Mauro et al., 2018), and the need to rebuild machinery, tooling, and workforce skills documented in case evidence (Pegoraro et al., 2022). Conceptual work complements this reading: D'Ambrosio and Lavoratori (2025) contend that reshoring confronts firms with new fixed costs and capability demands, while existing value chains remain "sticky" because of the resources invested in them. Taken together, the two lenses are complementary: Transaction Cost Economics explains why leaving the host country is costly, and the Resource-Based View explains why re-establishing production at home is demanding.</w:t>
      </w:r>
    </w:p>
    <w:p>
      <w:pPr>
        <w:pStyle w:val="Heading2"/>
      </w:pPr>
      <w:r>
        <w:t>2.3 Drivers of Reshoring versus Implementation Barriers</w:t>
      </w:r>
    </w:p>
    <w:p>
      <w:r>
        <w:t>A central conceptual distinction in this thesis separates the motivations for reshoring from the difficulties of carrying it out. The driver literature is relatively well developed. Di Mauro et al. (2018) conclude that offshoring is mainly driven by cost reduction, whereas backshoring usually follows a strategic reorientation towards customer-perceived value, and they characterise the return as strategic evolution rather than the correction of a managerial mistake. Firm-level survey evidence links reshoring decisions to home-country conditions (Wan et al., 2019) and to Industry 4.0 adoption, pandemic experience, and made-in effects (Stentoft et al., 2025), and survey and case research has examined the relationship between digital-technology adoption and backshoring decisions (Kamp &amp; Gibaja, 2021). Case studies add brand-related motives: Robinson and Hsieh (2016) demonstrate how a luxury clothing company's repositioning around provenance and quality led to the consolidation of production in the home country. Problems with quality, coordination, and flexibility at offshore locations also appear as reasons for return (Di Mauro et al., 2018).</w:t>
      </w:r>
    </w:p>
    <w:p>
      <w:r>
        <w:t>Drivers, however, explain only why companies want to come back — not whether the return succeeds. As defined in this thesis, implementation barriers are the difficulties that occur when a firm prepares, transfers, rebuilds, integrates, and stabilises production at home after the reshoring decision has been made. The distinction is analytically important because factors prominent in the driver literature, such as rising foreign wages or supply-chain disruptions, are not implementation barriers unless the evidence indicates that they obstructed the implementation process itself. The clearest empirical demonstration that the two stages are distinct is provided by Boffelli et al. (2021), who examine mistakes in four relocation cases in the fashion industry and distinguish decision-making mistakes from implementation mistakes. Their key finding is that failures of relocation initiatives were directly linked to mistakes made in the implementation phase, leading to the conclusion that "doing things right" in implementation matters more than "doing the right thing" at the decision stage. The process framework of Pedroletti and Ciabuschi (2023) supports this separation at a conceptual level, treating implementation as a stage with its own contingencies and outcomes.</w:t>
      </w:r>
    </w:p>
    <w:p>
      <w:pPr>
        <w:pStyle w:val="Heading2"/>
      </w:pPr>
      <w:r>
        <w:t>2.4 Existing Knowledge on Reshoring Barriers and the Research Gap</w:t>
      </w:r>
    </w:p>
    <w:p>
      <w:r>
        <w:t>The most systematic early treatment of reshoring barriers is the literature review by Wiesmann et al. (2017), who categorise both drivers and barriers into five sets of dynamics: global competitive dynamics, home-country, host-country, supply-chain, and firm-specific factors. On the barrier side, the review notes the loss of access to production resources that were available offshore but are absent at home, shortages of skilled personnel in both the host and home countries, and weaknesses in home-country supplier capacity and networks. This taxonomy is valuable but, as review-level evidence, it aggregates results from heterogeneous primary studies; it also differs in structure from the firm-level framework developed in this thesis, and the two are cross-walked in the analysis rather than treated as equivalent.</w:t>
      </w:r>
    </w:p>
    <w:p>
      <w:r>
        <w:t>Later review work has extended the barrier discussion in specific directions. Di Stefano and Fratocchi (2019) explore the connection between backshoring and sustainability and show that environmental and social factors can act as drivers, outcomes, or barriers, including regulatory and social constraints on exiting the host country. Technology-readiness themes emerge from reviews at the intersection of reshoring and Industry 4.0 (Espíndola et al., 2023; Bilbao-Ubillos et al., 2024): digital technologies can make reshoring more attractive by reducing the importance of labour costs and increasing the value of proximity, but their deployment requires new technical skills, organisational adaptation, and investment. In a similar direction, Gupta et al. (2023) argue that Industry 4.0 plays a dual role, facilitating reshoring while introducing new capability demands. Conceptually, D'Ambrosio and Lavoratori (2025) integrate several of these strands, explaining the rarity of reshoring through the stickiness of existing value chains, the new fixed costs of domestic production, and firm-size differences — larger firms may prefer nearshoring or friendshoring, while smaller, constrained firms may reshore defensively "to survive." Empirical work on high-cost home environments shows that companies producing in their home countries face labour-cost pressure, skills shortages, supplier-network gaps, and internal organisational frictions (Mirzaei et al., 2021), conditions that any returning firm inherits.</w:t>
      </w:r>
    </w:p>
    <w:p>
      <w:r>
        <w:t>Three limitations of this body of knowledge define the research gap. First, evidence on barriers is scattered: individual studies identify individual obstacles, but consolidated, firm-level syntheses focused specifically on implementation are rare, and the implementation stage is under-researched compared with the reshoring decision (Ocicka, 2016; Pedroletti &amp; Ciabuschi, 2023). Second, the evidence is heterogeneous in kind — direct case observations, review-level aggregations, and conceptual arguments are often cited interchangeably, although they warrant different degrees of confidence. Third, the literature is rarely disaggregated in an Asia-specific way: although Asia is the main offshore manufacturing destination, most studies report barriers at the sample level without distinguishing findings that concern the return from Asian host countries. Direct implementation evidence from identified Asia-to-home cases does exist — notably a China-to-UK case documenting skills, machinery, and ramp-up difficulties (Pegoraro et al., 2022) and a China-to-Italy case documenting supplier dependence and coordination burdens in a partial return (Pedroletti, 2025) — but such cases are few. The four categories used in this thesis — regulatory/institutional, cultural/organisational, cost/operational, and asset/capability barriers — are intended to bring this fragmented evidence together at the firm level while preserving the distinctions between evidence types and between Asia-specific and general findings.</w:t>
      </w:r>
    </w:p>
    <w:p>
      <w:r>
        <w:t>Overall, this chapter has defined reshoring as the return of previously offshored manufacturing from an Asian host country to the firm's home country, differentiated it from re-offshoring and nearshoring, and introduced Transaction Cost Economics and the Resource-Based View as complementary lenses on the exit-side and arrival-side difficulties of implementation. It has separated the well-established literature on reshoring drivers from the less developed knowledge on implementation barriers and has identified a gap: existing barrier evidence is scattered, mixed in kind, and rarely disaggregated for Asian host countries. The systematic literature review through which this thesis consolidates that evidence is described in the following chapter.</w:t>
      </w:r>
    </w:p>
    <w:p>
      <w:pPr>
        <w:pStyle w:val="Heading1"/>
      </w:pPr>
      <w:r>
        <w:t>3 Research Methodology</w:t>
      </w:r>
    </w:p>
    <w:p>
      <w:r>
        <w:t>This chapter describes how the thesis was designed and carried out: why a systematic literature review is the appropriate method for the research questions, how the source material was collected, screened, and quality-assessed, and how the included evidence was analysed to produce the firm-level barrier framework. The chapter closes with the methodological limitations of the approach.</w:t>
      </w:r>
    </w:p>
    <w:p>
      <w:pPr>
        <w:pStyle w:val="Heading2"/>
      </w:pPr>
      <w:r>
        <w:t>3.1 Research Design</w:t>
      </w:r>
    </w:p>
    <w:p>
      <w:r>
        <w:t>The research method used in this thesis is a systematic literature review (SLR). The choice follows directly from the nature of the research question, which asks what barriers manufacturing firms face when implementing reshoring strategies from Asian markets, while the two sub-questions ask how these barriers can be categorised into a systematic firm-level framework and what managerial implications follow. Answering these questions does not require new primary observations, but rather a structured synthesis of evidence that already exists but is spread across a fragmented body of research. A systematic review is appropriate for this purpose because it brings together the findings of the literature on a bounded question through explicit, documented, and reproducible procedures for searching, selecting, and analysing the literature.</w:t>
      </w:r>
    </w:p>
    <w:p>
      <w:r>
        <w:t>According to Snyder (2019), a literature review can serve as a research methodology in its own right, and three review types can be distinguished — systematic, semi-systematic, and integrative — each suited to a different purpose. A systematic review is suitable for a question that is specific enough to be answered by identifying and evaluating a body of relevant studies according to predetermined criteria. The present research question is narrow and firm-level in focus, and a systematic design is therefore the most suitable of the three, despite the methodological heterogeneity of the underlying evidence. Snyder (2019) also outlines the review process in broadly four stages — designing the review, conducting the search and selection, analysing the retrieved material, and writing up the results — and this sequence structures the remainder of the chapter. The framework is applied here as a general methodological justification and is complemented by dedicated reporting and synthesis guidance in the sections below.</w:t>
      </w:r>
    </w:p>
    <w:p>
      <w:r>
        <w:t>In keeping with this design, the thesis does not gather primary interview, survey, or company data; all evidence comes from previously published, peer-reviewed research. The contribution is therefore integrative: the review brings together findings from individual studies into a single firm-level framework of reshoring implementation barriers, in line with established review-based work in the reshoring field (Tsai &amp; Urmetzer, 2024). This design enables the study to answer the research questions directly while remaining transparent about the origin and strength of each piece of evidence.</w:t>
      </w:r>
    </w:p>
    <w:p>
      <w:pPr>
        <w:pStyle w:val="Heading2"/>
      </w:pPr>
      <w:r>
        <w:t>3.2 Data Collection Methods</w:t>
      </w:r>
    </w:p>
    <w:p>
      <w:r>
        <w:t>The literature search and selection were documented with reference to the PRISMA 2020 reporting guidelines and their accompanying explanation and elaboration guidance (Page et al., 2021a, 2021b). PRISMA was used as a framework for the transparent documentation of identification, screening, and inclusion, not as a method of evidence synthesis, which is addressed separately in Section 3.3. Google Scholar served as the literature-discovery platform. The early search process was exploratory and iterative rather than prospectively documented. Because Google Scholar provides no automatic filters for peer-review status, publication type, subject area, or full-text availability, these requirements were assessed manually during screening.</w:t>
      </w:r>
    </w:p>
    <w:p>
      <w:r>
        <w:t>The source-selection process was iterative. Potentially relevant records were identified through Google Scholar searches, backward reference searching, forward citation searching, and related-article suggestions. Duplicate records were removed where identified, after which titles, abstracts, and available full texts were assessed against the eligibility criteria. A source was included in the formal analytical sample only when it satisfied the adopted definition of reshoring and provided evidence relevant to the research questions.</w:t>
      </w:r>
    </w:p>
    <w:p>
      <w:r>
        <w:t>[FINAL DOCUMENTED UPDATE SEARCH TO BE COMPLETED BY AUTHOR: a concluding Google Scholar update search will record the exact search strings and Boolean combinations, any publication-year restriction applied, the actual search date, the approximate number of results displayed, the number of records actually screened, duplicates removed, full texts assessed, exclusions and their reasons, and any newly included studies. These values are required to complete the PRISMA flow diagram in Appendix A and must not be estimated or reconstructed retrospectively.]</w:t>
      </w:r>
    </w:p>
    <w:p>
      <w:r>
        <w:t>Eligibility was governed by the reshoring definition adopted in this thesis. To qualify for the formal analytical sample, a study had to address genuine reshoring — the return of previously offshored manufacturing to the firm's home country. Studies concerned solely with China+1 configurations, China-to-Southeast-Asia relocation, re-offshoring, nearshoring without a return home, or foreign-to-foreign relocation were excluded from barrier coding, as these relocation forms do not constitute genuine reshoring; a small number were retained as contextual sources for the Introduction and Discussion. Because implementation evidence is not always disaggregated by host region in the published literature, Asia specificity was not applied as an absolute inclusion filter but as a recorded classification dimension: every source received an Asia-specificity rating, and only findings from sources whose data explicitly connect an Asian host location to a return home are presented as Asia-specific in the Results. Recording explicit inclusion and exclusion criteria of this kind, and documenting the specific reasons for excluding full texts, is a reporting requirement emphasised in the PRISMA guidance (Page et al., 2021a).</w:t>
      </w:r>
    </w:p>
    <w:p>
      <w:r>
        <w:t>Selection followed a small set of decision rules that divide the corpus according to function. The full corpus consists of 33 sources. Of these, 21 peer-reviewed reshoring studies constitute the formal analytical sample from which the barrier framework is developed. A further set of contextual and policy sources — covering, for example, macro-level relocation patterns and China+1 dynamics — was retained only to support the Introduction and Discussion and was deliberately excluded from barrier coding, because these sources describe the broader environment rather than firm-level implementation. Five methodology sources were retained solely to justify the research design, PRISMA reporting, and the coding and synthesis procedures, and likewise contribute nothing to the barrier evidence base. The PRISMA flow diagram in Appendix A accordingly documents the identification and selection of the 21 studies in the formal analytical sample; methodology sources are not counted as included studies, and contextual sources are reported separately.</w:t>
      </w:r>
    </w:p>
    <w:p>
      <w:r>
        <w:t>The formal sample was additionally characterised along two evidence-classification dimensions recorded for every source. The first is an evidence-level classification ranging from L1 to L5: L1 denotes direct implementation evidence from cases, interviews, or observed reshoring processes; L2 covers reshoring-related empirical, review, or conceptual evidence that is not direct implementation observation; L3 denotes contextual macro or sector evidence; L4 denotes methodological or decision-support material; and L5 lies outside the core reshoring definition. The second dimension is an Asia-specificity rating (high, medium, or low); a source is rated high only when its data or case explicitly links an Asian host location to a return home. These dimensions guided the interpretation and reporting of the evidence, particularly the distinction between direct implementation findings, general reshoring evidence, contextual material, and Asia-specific findings; they classify the relevance, type, and applicability of the evidence rather than constituting a full methodological quality appraisal. Screening and selection were conducted by a single researcher, which is disclosed here as a limitation of the selection process.</w:t>
      </w:r>
    </w:p>
    <w:p>
      <w:pPr>
        <w:pStyle w:val="Heading2"/>
      </w:pPr>
      <w:r>
        <w:t>3.3 Data Analysis Techniques</w:t>
      </w:r>
    </w:p>
    <w:p>
      <w:r>
        <w:t>The included evidence was analysed through an adapted thematic synthesis based on Thomas and Harden (2008), who set out a transparent three-stage procedure for synthesising findings across studies. In the first stage, relevant findings reported in the included studies were coded at the level of meaningful evidence segments. In the second stage, conceptually similar codes were clustered into descriptive themes that stayed close to the content of the primary studies. In the third stage, the descriptive themes were interpreted to produce higher-order analytical themes that address the research questions and go beyond what any single study states in isolation. A key strength of this procedure is that it maintains an auditable trail from the review's conclusions back to the original text of the primary studies, so that each analytical theme can be traced through the descriptive themes to the coded evidence.</w:t>
      </w:r>
    </w:p>
    <w:p>
      <w:r>
        <w:t>The coding itself followed a hybrid deductive–inductive logic, for which Mayring (2014) provides the methodological foundation. Mayring (2014) treats qualitative content analysis as a systematic, rule-governed procedure in which deductive category application and inductive category development are complementary rather than mutually exclusive. Following this logic, the four organising categories of the thesis framework — regulatory/institutional, cultural/organisational, cost/operational, and asset/capability — were derived deductively from the theoretical framework and the research questions and applied as an a priori coding frame. The more specific barrier themes within each category were then developed inductively from the included studies, and category boundaries were adjusted where the a priori frame did not fully capture the coded material. This resulted in a set of barrier themes nested within the four deductive categories.</w:t>
      </w:r>
    </w:p>
    <w:p>
      <w:r>
        <w:t>Two coding rules protected the integrity of the synthesis. First, in line with the corpus's own decision rule, the three evidence types — direct empirical findings from a study's own data, findings reported through a literature review, and barriers argued on conceptual grounds — were coded and reported separately and never summed into a single frequency count, because a survey result, a review finding, and a conceptual argument do not carry equivalent evidential weight. Second, drivers and implementation barriers were kept strictly distinct: only difficulties in preparing, transferring, rebuilding, integrating, or stabilising production at home were coded as implementation barriers, while motives for considering reshoring — such as geopolitical tensions, rising Asian wages, or supply-chain disruptions — were not coded as barriers unless a study explicitly showed that they hindered the implementation process.</w:t>
      </w:r>
    </w:p>
    <w:p>
      <w:r>
        <w:t>Several methodological limitations follow from this design. As a secondary method, an SLR is constrained by the coverage, quality, and completeness of the published literature and by the risk of publication bias; it synthesises existing findings rather than observing reshoring directly. The corpus's own caution reinforces this point: because direct empirical, review, and conceptual evidence carry different weights, the strength of any barrier claim depends on the type of evidence behind it and cannot be inferred from how often the barrier is mentioned. Most importantly, genuinely Asia-specific direct implementation evidence rests on only a small number of cases — principally two single-case studies documenting returns from China — so Asia-specific findings are reported as illustrative rather than generalisable, a constraint stated explicitly in the results and the limitations discussion.</w:t>
      </w:r>
    </w:p>
    <w:p>
      <w:r>
        <w:t>To summarise, this chapter has argued that the systematic literature review is the method best matched to the research questions, explained how the 33-source corpus and its 21-source formal analytical sample were assembled, screened, and quality-assessed under PRISMA reporting, and outlined the hybrid deductive–inductive thematic synthesis through which the barriers were coded and organised. It has also stated the principal limitations of the approach and the rules that keep the evidence types separate and maintain the driver–barrier distinction. The following chapter presents the results of this synthesis, reporting the barriers identified in the literature within the four categories of the firm-level framework.</w:t>
      </w:r>
    </w:p>
    <w:p>
      <w:pPr>
        <w:pStyle w:val="Heading1"/>
      </w:pPr>
      <w:r>
        <w:t>4 Results</w:t>
      </w:r>
    </w:p>
    <w:p>
      <w:r>
        <w:t>This chapter reports the reshoring implementation barriers identified in the reviewed literature. Section 4.1 describes the evidence base and presents the complete mapping of barrier themes to the four-category framework. Sections 4.2 to 4.5 then report the findings for each category in turn: regulatory/institutional, cultural/organisational, cost/operational, and asset/capability barriers. Throughout the chapter, the three evidence types — direct empirical findings, literature-review findings, and conceptual arguments — are reported separately, and findings are presented as Asia-specific only where the underlying study explicitly links an Asian host location to a return home.</w:t>
      </w:r>
    </w:p>
    <w:p>
      <w:pPr>
        <w:pStyle w:val="Heading2"/>
      </w:pPr>
      <w:r>
        <w:t>4.1 Overview of the Analytical Sample and Barrier Landscape</w:t>
      </w:r>
    </w:p>
    <w:p>
      <w:r>
        <w:t>The barrier synthesis draws on the 21-source formal analytical sample described in Chapter 3. Within that sample, fifteen sources contribute barrier evidence and are reported in this chapter; one further source (Tsai &amp; Urmetzer, 2024) belongs to the formal sample but serves terminology and framework purposes only and is not cited for any barrier finding. The synthesis organises the identified barriers into eighteen themes nested within the four categories of the firm-level framework, addressing the first sub-question of the thesis.</w:t>
      </w:r>
    </w:p>
    <w:p>
      <w:r>
        <w:t>The contributing evidence is of three distinct types. Direct empirical evidence comes from four core empirical studies (Boffelli et al., 2021; Li et al., 2025; Pegoraro et al., 2022; Pedroletti, 2025) and from two supporting empirical studies (Di Mauro et al., 2018; Mirzaei et al., 2021); a third supporting empirical study (Robinson &amp; Hsieh, 2016) contributes contextual evidence only. Literature-review evidence comes from six sources (Pedroletti &amp; Ciabuschi, 2023; Wiesmann et al., 2017; Espíndola et al., 2023; Di Stefano &amp; Fratocchi, 2019; Ocicka, 2016; Bilbao-Ubillos et al., 2024), and conceptual argument from two further sources (D'Ambrosio &amp; Lavoratori, 2025; Gupta et al., 2023). These types are reported separately in every section and are not aggregated into a single frequency, because a case observation, a review finding, and a conceptual argument do not carry equivalent evidential weight. Two of the core empirical studies (Pegoraro et al., 2022; Pedroletti, 2025) are single-case designs, and their findings are reported as individual cases rather than generalised.</w:t>
      </w:r>
    </w:p>
    <w:p>
      <w:r>
        <w:t>The Asia-specificity of the evidence warrants explicit statement at the outset. Genuinely Asia-specific direct implementation evidence rests on two single-case studies: a China-to-UK case (Pegoraro et al., 2022) and a China-to-Italy partial-reshoring case (Pedroletti, 2025). Two multi-case studies are partially attributable to an Asian host: in Boffelli et al. (2021) China features as the main offshore location across the four fashion cases, without case-level disaggregation of findings, and in Di Mauro et al. (2018) two of the four case firms returned from China, without the individual findings being attributed to those cases. The findings of Li et al. (2025) are reported here as general Nordic/Swedish evidence: although China appears among the host countries in the sample, no barrier in that study is disaggregated to an Asian host.</w:t>
      </w:r>
    </w:p>
    <w:p>
      <w:r>
        <w:t>Table 1 maps all eighteen barrier themes to their framework category, the evidence types available for each, and the Asia-specificity status of the supporting evidence; the complete coding table cross-referencing every theme to its contributing sources and their evidence types is provided in Appendix B. The sections that follow report each theme in turn. As Table 1 makes visible, the regulatory/institutional category is the thinnest in direct empirical terms — a factual feature of the evidence distribution that is stated again where that category is reported.</w:t>
      </w:r>
    </w:p>
    <w:p>
      <w:r>
        <w:rPr>
          <w:b/>
        </w:rPr>
        <w:t xml:space="preserve">Table 1. </w:t>
      </w:r>
      <w:r>
        <w:rPr>
          <w:i/>
        </w:rPr>
        <w:t>Reshoring implementation-barrier themes mapped to the four-category framework, showing the evidence types available for each theme (direct empirical, literature-review, and conceptual sources listed separately) and the Asia-specificity status of the supporting evidence. Evidence types are not aggregated; "Asia-specific" is affirmed only where a source explicitly links an Asian host location to a return home.</w:t>
      </w:r>
    </w:p>
    <w:p>
      <w:pPr>
        <w:sectPr>
          <w:pgSz w:w="12240" w:h="15840"/>
          <w:pgMar w:top="1440" w:right="1440" w:bottom="1440" w:left="1440" w:header="720" w:footer="720" w:gutter="0"/>
          <w:cols w:space="720"/>
          <w:docGrid w:linePitch="360"/>
        </w:sectPr>
      </w:pP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tcPr>
          <w:p>
            <w:r>
              <w:rPr>
                <w:rFonts w:ascii="Times New Roman" w:hAnsi="Times New Roman"/>
                <w:b/>
                <w:sz w:val="18"/>
              </w:rPr>
              <w:t>Barrier theme</w:t>
            </w:r>
          </w:p>
        </w:tc>
        <w:tc>
          <w:tcPr>
            <w:tcW w:type="dxa" w:w="2160"/>
          </w:tcPr>
          <w:p>
            <w:r>
              <w:rPr>
                <w:rFonts w:ascii="Times New Roman" w:hAnsi="Times New Roman"/>
                <w:b/>
                <w:sz w:val="18"/>
              </w:rPr>
              <w:t>Category</w:t>
            </w:r>
          </w:p>
        </w:tc>
        <w:tc>
          <w:tcPr>
            <w:tcW w:type="dxa" w:w="2160"/>
          </w:tcPr>
          <w:p>
            <w:r>
              <w:rPr>
                <w:rFonts w:ascii="Times New Roman" w:hAnsi="Times New Roman"/>
                <w:b/>
                <w:sz w:val="18"/>
              </w:rPr>
              <w:t>Direct empirical</w:t>
            </w:r>
          </w:p>
        </w:tc>
        <w:tc>
          <w:tcPr>
            <w:tcW w:type="dxa" w:w="2160"/>
          </w:tcPr>
          <w:p>
            <w:r>
              <w:rPr>
                <w:rFonts w:ascii="Times New Roman" w:hAnsi="Times New Roman"/>
                <w:b/>
                <w:sz w:val="18"/>
              </w:rPr>
              <w:t>Review</w:t>
            </w:r>
          </w:p>
        </w:tc>
        <w:tc>
          <w:tcPr>
            <w:tcW w:type="dxa" w:w="2160"/>
          </w:tcPr>
          <w:p>
            <w:r>
              <w:rPr>
                <w:rFonts w:ascii="Times New Roman" w:hAnsi="Times New Roman"/>
                <w:b/>
                <w:sz w:val="18"/>
              </w:rPr>
              <w:t>Conceptual</w:t>
            </w:r>
          </w:p>
        </w:tc>
        <w:tc>
          <w:tcPr>
            <w:tcW w:type="dxa" w:w="2160"/>
          </w:tcPr>
          <w:p>
            <w:r>
              <w:rPr>
                <w:rFonts w:ascii="Times New Roman" w:hAnsi="Times New Roman"/>
                <w:b/>
                <w:sz w:val="18"/>
              </w:rPr>
              <w:t>Asia-specific status</w:t>
            </w:r>
          </w:p>
        </w:tc>
      </w:tr>
      <w:tr>
        <w:tc>
          <w:tcPr>
            <w:tcW w:type="dxa" w:w="2160"/>
          </w:tcPr>
          <w:p>
            <w:r>
              <w:rPr>
                <w:rFonts w:ascii="Times New Roman" w:hAnsi="Times New Roman"/>
                <w:sz w:val="18"/>
              </w:rPr>
              <w:t>Domestic skilled-labour &amp; competence gap</w:t>
            </w:r>
          </w:p>
        </w:tc>
        <w:tc>
          <w:tcPr>
            <w:tcW w:type="dxa" w:w="2160"/>
          </w:tcPr>
          <w:p>
            <w:r>
              <w:rPr>
                <w:rFonts w:ascii="Times New Roman" w:hAnsi="Times New Roman"/>
                <w:sz w:val="18"/>
              </w:rPr>
              <w:t>Asset/Capability</w:t>
            </w:r>
          </w:p>
        </w:tc>
        <w:tc>
          <w:tcPr>
            <w:tcW w:type="dxa" w:w="2160"/>
          </w:tcPr>
          <w:p>
            <w:r>
              <w:rPr>
                <w:rFonts w:ascii="Times New Roman" w:hAnsi="Times New Roman"/>
                <w:sz w:val="18"/>
              </w:rPr>
              <w:t>Pegoraro et al. (2022); Li et al. (2025); Di Mauro et al. (2018); Mirzaei et al. (2021)</w:t>
            </w:r>
          </w:p>
        </w:tc>
        <w:tc>
          <w:tcPr>
            <w:tcW w:type="dxa" w:w="2160"/>
          </w:tcPr>
          <w:p>
            <w:r>
              <w:rPr>
                <w:rFonts w:ascii="Times New Roman" w:hAnsi="Times New Roman"/>
                <w:sz w:val="18"/>
              </w:rPr>
              <w:t>Wiesmann et al. (2017); Ocicka (2016); Bilbao-Ubillos et al. (2024)</w:t>
            </w:r>
          </w:p>
        </w:tc>
        <w:tc>
          <w:tcPr>
            <w:tcW w:type="dxa" w:w="2160"/>
          </w:tcPr>
          <w:p>
            <w:r>
              <w:rPr>
                <w:rFonts w:ascii="Times New Roman" w:hAnsi="Times New Roman"/>
                <w:sz w:val="18"/>
              </w:rPr>
              <w:t>D'Ambrosio &amp; Lavoratori (2025); Gupta et al. (2023)</w:t>
            </w:r>
          </w:p>
        </w:tc>
        <w:tc>
          <w:tcPr>
            <w:tcW w:type="dxa" w:w="2160"/>
          </w:tcPr>
          <w:p>
            <w:r>
              <w:rPr>
                <w:rFonts w:ascii="Times New Roman" w:hAnsi="Times New Roman"/>
                <w:sz w:val="18"/>
              </w:rPr>
              <w:t>Yes — Pegoraro et al. (single China→UK case); others general/partial</w:t>
            </w:r>
          </w:p>
        </w:tc>
      </w:tr>
      <w:tr>
        <w:tc>
          <w:tcPr>
            <w:tcW w:type="dxa" w:w="2160"/>
          </w:tcPr>
          <w:p>
            <w:r>
              <w:rPr>
                <w:rFonts w:ascii="Times New Roman" w:hAnsi="Times New Roman"/>
                <w:sz w:val="18"/>
              </w:rPr>
              <w:t>Domestic capacity, facilities &amp; machinery gap</w:t>
            </w:r>
          </w:p>
        </w:tc>
        <w:tc>
          <w:tcPr>
            <w:tcW w:type="dxa" w:w="2160"/>
          </w:tcPr>
          <w:p>
            <w:r>
              <w:rPr>
                <w:rFonts w:ascii="Times New Roman" w:hAnsi="Times New Roman"/>
                <w:sz w:val="18"/>
              </w:rPr>
              <w:t>Asset/Capability</w:t>
            </w:r>
          </w:p>
        </w:tc>
        <w:tc>
          <w:tcPr>
            <w:tcW w:type="dxa" w:w="2160"/>
          </w:tcPr>
          <w:p>
            <w:r>
              <w:rPr>
                <w:rFonts w:ascii="Times New Roman" w:hAnsi="Times New Roman"/>
                <w:sz w:val="18"/>
              </w:rPr>
              <w:t>Pegoraro et al. (2022); Li et al. (2025); Mirzaei et al. (2021)</w:t>
            </w:r>
          </w:p>
        </w:tc>
        <w:tc>
          <w:tcPr>
            <w:tcW w:type="dxa" w:w="2160"/>
          </w:tcPr>
          <w:p>
            <w:r>
              <w:rPr>
                <w:rFonts w:ascii="Times New Roman" w:hAnsi="Times New Roman"/>
                <w:sz w:val="18"/>
              </w:rPr>
              <w:t>Wiesmann et al. (2017)</w:t>
            </w:r>
          </w:p>
        </w:tc>
        <w:tc>
          <w:tcPr>
            <w:tcW w:type="dxa" w:w="2160"/>
          </w:tcPr>
          <w:p>
            <w:r>
              <w:rPr>
                <w:rFonts w:ascii="Times New Roman" w:hAnsi="Times New Roman"/>
                <w:sz w:val="18"/>
              </w:rPr>
              <w:t>D'Ambrosio &amp; Lavoratori (2025); Gupta et al. (2023)</w:t>
            </w:r>
          </w:p>
        </w:tc>
        <w:tc>
          <w:tcPr>
            <w:tcW w:type="dxa" w:w="2160"/>
          </w:tcPr>
          <w:p>
            <w:r>
              <w:rPr>
                <w:rFonts w:ascii="Times New Roman" w:hAnsi="Times New Roman"/>
                <w:sz w:val="18"/>
              </w:rPr>
              <w:t>Yes — Pegoraro et al. (single case); others general</w:t>
            </w:r>
          </w:p>
        </w:tc>
      </w:tr>
      <w:tr>
        <w:tc>
          <w:tcPr>
            <w:tcW w:type="dxa" w:w="2160"/>
          </w:tcPr>
          <w:p>
            <w:r>
              <w:rPr>
                <w:rFonts w:ascii="Times New Roman" w:hAnsi="Times New Roman"/>
                <w:sz w:val="18"/>
              </w:rPr>
              <w:t>Host-supplier dependence &amp; knowledge lock-in</w:t>
            </w:r>
          </w:p>
        </w:tc>
        <w:tc>
          <w:tcPr>
            <w:tcW w:type="dxa" w:w="2160"/>
          </w:tcPr>
          <w:p>
            <w:r>
              <w:rPr>
                <w:rFonts w:ascii="Times New Roman" w:hAnsi="Times New Roman"/>
                <w:sz w:val="18"/>
              </w:rPr>
              <w:t>Asset/Capability</w:t>
            </w:r>
          </w:p>
        </w:tc>
        <w:tc>
          <w:tcPr>
            <w:tcW w:type="dxa" w:w="2160"/>
          </w:tcPr>
          <w:p>
            <w:r>
              <w:rPr>
                <w:rFonts w:ascii="Times New Roman" w:hAnsi="Times New Roman"/>
                <w:sz w:val="18"/>
              </w:rPr>
              <w:t>Pedroletti (2025); Li et al. (2025)</w:t>
            </w:r>
          </w:p>
        </w:tc>
        <w:tc>
          <w:tcPr>
            <w:tcW w:type="dxa" w:w="2160"/>
          </w:tcPr>
          <w:p>
            <w:r>
              <w:rPr>
                <w:rFonts w:ascii="Times New Roman" w:hAnsi="Times New Roman"/>
                <w:sz w:val="18"/>
              </w:rPr>
              <w:t>Wiesmann et al. (2017); Bilbao-Ubillos et al. (2024)</w:t>
            </w:r>
          </w:p>
        </w:tc>
        <w:tc>
          <w:tcPr>
            <w:tcW w:type="dxa" w:w="2160"/>
          </w:tcPr>
          <w:p>
            <w:r>
              <w:rPr>
                <w:rFonts w:ascii="Times New Roman" w:hAnsi="Times New Roman"/>
                <w:sz w:val="18"/>
              </w:rPr>
              <w:t>Gupta et al. (2023)</w:t>
            </w:r>
          </w:p>
        </w:tc>
        <w:tc>
          <w:tcPr>
            <w:tcW w:type="dxa" w:w="2160"/>
          </w:tcPr>
          <w:p>
            <w:r>
              <w:rPr>
                <w:rFonts w:ascii="Times New Roman" w:hAnsi="Times New Roman"/>
                <w:sz w:val="18"/>
              </w:rPr>
              <w:t>Yes — Pedroletti (single China→Italy case); others general</w:t>
            </w:r>
          </w:p>
        </w:tc>
      </w:tr>
      <w:tr>
        <w:tc>
          <w:tcPr>
            <w:tcW w:type="dxa" w:w="2160"/>
          </w:tcPr>
          <w:p>
            <w:r>
              <w:rPr>
                <w:rFonts w:ascii="Times New Roman" w:hAnsi="Times New Roman"/>
                <w:sz w:val="18"/>
              </w:rPr>
              <w:t>GVC stickiness / offshore sunk-cost inertia</w:t>
            </w:r>
          </w:p>
        </w:tc>
        <w:tc>
          <w:tcPr>
            <w:tcW w:type="dxa" w:w="2160"/>
          </w:tcPr>
          <w:p>
            <w:r>
              <w:rPr>
                <w:rFonts w:ascii="Times New Roman" w:hAnsi="Times New Roman"/>
                <w:sz w:val="18"/>
              </w:rPr>
              <w:t>Asset/Capability</w:t>
            </w:r>
          </w:p>
        </w:tc>
        <w:tc>
          <w:tcPr>
            <w:tcW w:type="dxa" w:w="2160"/>
          </w:tcPr>
          <w:p>
            <w:r>
              <w:rPr>
                <w:rFonts w:ascii="Times New Roman" w:hAnsi="Times New Roman"/>
                <w:sz w:val="18"/>
              </w:rPr>
              <w:t>—</w:t>
            </w:r>
          </w:p>
        </w:tc>
        <w:tc>
          <w:tcPr>
            <w:tcW w:type="dxa" w:w="2160"/>
          </w:tcPr>
          <w:p>
            <w:r>
              <w:rPr>
                <w:rFonts w:ascii="Times New Roman" w:hAnsi="Times New Roman"/>
                <w:sz w:val="18"/>
              </w:rPr>
              <w:t>Bilbao-Ubillos et al. (2024)</w:t>
            </w:r>
          </w:p>
        </w:tc>
        <w:tc>
          <w:tcPr>
            <w:tcW w:type="dxa" w:w="2160"/>
          </w:tcPr>
          <w:p>
            <w:r>
              <w:rPr>
                <w:rFonts w:ascii="Times New Roman" w:hAnsi="Times New Roman"/>
                <w:sz w:val="18"/>
              </w:rPr>
              <w:t>D'Ambrosio &amp; Lavoratori (2025)</w:t>
            </w:r>
          </w:p>
        </w:tc>
        <w:tc>
          <w:tcPr>
            <w:tcW w:type="dxa" w:w="2160"/>
          </w:tcPr>
          <w:p>
            <w:r>
              <w:rPr>
                <w:rFonts w:ascii="Times New Roman" w:hAnsi="Times New Roman"/>
                <w:sz w:val="18"/>
              </w:rPr>
              <w:t>No</w:t>
            </w:r>
          </w:p>
        </w:tc>
      </w:tr>
      <w:tr>
        <w:tc>
          <w:tcPr>
            <w:tcW w:type="dxa" w:w="2160"/>
          </w:tcPr>
          <w:p>
            <w:r>
              <w:rPr>
                <w:rFonts w:ascii="Times New Roman" w:hAnsi="Times New Roman"/>
                <w:sz w:val="18"/>
              </w:rPr>
              <w:t>Regional ecosystem readiness</w:t>
            </w:r>
          </w:p>
        </w:tc>
        <w:tc>
          <w:tcPr>
            <w:tcW w:type="dxa" w:w="2160"/>
          </w:tcPr>
          <w:p>
            <w:r>
              <w:rPr>
                <w:rFonts w:ascii="Times New Roman" w:hAnsi="Times New Roman"/>
                <w:sz w:val="18"/>
              </w:rPr>
              <w:t>Asset/Capability</w:t>
            </w:r>
          </w:p>
        </w:tc>
        <w:tc>
          <w:tcPr>
            <w:tcW w:type="dxa" w:w="2160"/>
          </w:tcPr>
          <w:p>
            <w:r>
              <w:rPr>
                <w:rFonts w:ascii="Times New Roman" w:hAnsi="Times New Roman"/>
                <w:sz w:val="18"/>
              </w:rPr>
              <w:t>Pegoraro et al. (2022)</w:t>
            </w:r>
          </w:p>
        </w:tc>
        <w:tc>
          <w:tcPr>
            <w:tcW w:type="dxa" w:w="2160"/>
          </w:tcPr>
          <w:p>
            <w:r>
              <w:rPr>
                <w:rFonts w:ascii="Times New Roman" w:hAnsi="Times New Roman"/>
                <w:sz w:val="18"/>
              </w:rPr>
              <w:t>Bilbao-Ubillos et al. (2024)</w:t>
            </w:r>
          </w:p>
        </w:tc>
        <w:tc>
          <w:tcPr>
            <w:tcW w:type="dxa" w:w="2160"/>
          </w:tcPr>
          <w:p>
            <w:r>
              <w:rPr>
                <w:rFonts w:ascii="Times New Roman" w:hAnsi="Times New Roman"/>
                <w:sz w:val="18"/>
              </w:rPr>
              <w:t>—</w:t>
            </w:r>
          </w:p>
        </w:tc>
        <w:tc>
          <w:tcPr>
            <w:tcW w:type="dxa" w:w="2160"/>
          </w:tcPr>
          <w:p>
            <w:r>
              <w:rPr>
                <w:rFonts w:ascii="Times New Roman" w:hAnsi="Times New Roman"/>
                <w:sz w:val="18"/>
              </w:rPr>
              <w:t>Yes — Pegoraro et al. (single case)</w:t>
            </w:r>
          </w:p>
        </w:tc>
      </w:tr>
      <w:tr>
        <w:tc>
          <w:tcPr>
            <w:tcW w:type="dxa" w:w="2160"/>
          </w:tcPr>
          <w:p>
            <w:r>
              <w:rPr>
                <w:rFonts w:ascii="Times New Roman" w:hAnsi="Times New Roman"/>
                <w:sz w:val="18"/>
              </w:rPr>
              <w:t>Hollowed-out supply base / supplier-network rebuilding</w:t>
            </w:r>
          </w:p>
        </w:tc>
        <w:tc>
          <w:tcPr>
            <w:tcW w:type="dxa" w:w="2160"/>
          </w:tcPr>
          <w:p>
            <w:r>
              <w:rPr>
                <w:rFonts w:ascii="Times New Roman" w:hAnsi="Times New Roman"/>
                <w:sz w:val="18"/>
              </w:rPr>
              <w:t>Cost/Operational</w:t>
            </w:r>
          </w:p>
        </w:tc>
        <w:tc>
          <w:tcPr>
            <w:tcW w:type="dxa" w:w="2160"/>
          </w:tcPr>
          <w:p>
            <w:r>
              <w:rPr>
                <w:rFonts w:ascii="Times New Roman" w:hAnsi="Times New Roman"/>
                <w:sz w:val="18"/>
              </w:rPr>
              <w:t>Mirzaei et al. (2021); Di Mauro et al. (2018)</w:t>
            </w:r>
          </w:p>
        </w:tc>
        <w:tc>
          <w:tcPr>
            <w:tcW w:type="dxa" w:w="2160"/>
          </w:tcPr>
          <w:p>
            <w:r>
              <w:rPr>
                <w:rFonts w:ascii="Times New Roman" w:hAnsi="Times New Roman"/>
                <w:sz w:val="18"/>
              </w:rPr>
              <w:t>Wiesmann et al. (2017); Ocicka (2016)</w:t>
            </w:r>
          </w:p>
        </w:tc>
        <w:tc>
          <w:tcPr>
            <w:tcW w:type="dxa" w:w="2160"/>
          </w:tcPr>
          <w:p>
            <w:r>
              <w:rPr>
                <w:rFonts w:ascii="Times New Roman" w:hAnsi="Times New Roman"/>
                <w:sz w:val="18"/>
              </w:rPr>
              <w:t>Gupta et al. (2023)</w:t>
            </w:r>
          </w:p>
        </w:tc>
        <w:tc>
          <w:tcPr>
            <w:tcW w:type="dxa" w:w="2160"/>
          </w:tcPr>
          <w:p>
            <w:r>
              <w:rPr>
                <w:rFonts w:ascii="Times New Roman" w:hAnsi="Times New Roman"/>
                <w:sz w:val="18"/>
              </w:rPr>
              <w:t>Partial — Di Mauro et al. (2 of 4 cases from China, unattributed)</w:t>
            </w:r>
          </w:p>
        </w:tc>
      </w:tr>
      <w:tr>
        <w:tc>
          <w:tcPr>
            <w:tcW w:type="dxa" w:w="2160"/>
          </w:tcPr>
          <w:p>
            <w:r>
              <w:rPr>
                <w:rFonts w:ascii="Times New Roman" w:hAnsi="Times New Roman"/>
                <w:sz w:val="18"/>
              </w:rPr>
              <w:t>New fixed costs &amp; switching/reconfiguration costs</w:t>
            </w:r>
          </w:p>
        </w:tc>
        <w:tc>
          <w:tcPr>
            <w:tcW w:type="dxa" w:w="2160"/>
          </w:tcPr>
          <w:p>
            <w:r>
              <w:rPr>
                <w:rFonts w:ascii="Times New Roman" w:hAnsi="Times New Roman"/>
                <w:sz w:val="18"/>
              </w:rPr>
              <w:t>Cost/Operational</w:t>
            </w:r>
          </w:p>
        </w:tc>
        <w:tc>
          <w:tcPr>
            <w:tcW w:type="dxa" w:w="2160"/>
          </w:tcPr>
          <w:p>
            <w:r>
              <w:rPr>
                <w:rFonts w:ascii="Times New Roman" w:hAnsi="Times New Roman"/>
                <w:sz w:val="18"/>
              </w:rPr>
              <w:t>Li et al. (2025)</w:t>
            </w:r>
          </w:p>
        </w:tc>
        <w:tc>
          <w:tcPr>
            <w:tcW w:type="dxa" w:w="2160"/>
          </w:tcPr>
          <w:p>
            <w:r>
              <w:rPr>
                <w:rFonts w:ascii="Times New Roman" w:hAnsi="Times New Roman"/>
                <w:sz w:val="18"/>
              </w:rPr>
              <w:t>Espíndola et al. (2023)</w:t>
            </w:r>
          </w:p>
        </w:tc>
        <w:tc>
          <w:tcPr>
            <w:tcW w:type="dxa" w:w="2160"/>
          </w:tcPr>
          <w:p>
            <w:r>
              <w:rPr>
                <w:rFonts w:ascii="Times New Roman" w:hAnsi="Times New Roman"/>
                <w:sz w:val="18"/>
              </w:rPr>
              <w:t>D'Ambrosio &amp; Lavoratori (2025); Gupta et al. (2023)</w:t>
            </w:r>
          </w:p>
        </w:tc>
        <w:tc>
          <w:tcPr>
            <w:tcW w:type="dxa" w:w="2160"/>
          </w:tcPr>
          <w:p>
            <w:r>
              <w:rPr>
                <w:rFonts w:ascii="Times New Roman" w:hAnsi="Times New Roman"/>
                <w:sz w:val="18"/>
              </w:rPr>
              <w:t>No</w:t>
            </w:r>
          </w:p>
        </w:tc>
      </w:tr>
      <w:tr>
        <w:tc>
          <w:tcPr>
            <w:tcW w:type="dxa" w:w="2160"/>
          </w:tcPr>
          <w:p>
            <w:r>
              <w:rPr>
                <w:rFonts w:ascii="Times New Roman" w:hAnsi="Times New Roman"/>
                <w:sz w:val="18"/>
              </w:rPr>
              <w:t>High-cost home environment</w:t>
            </w:r>
          </w:p>
        </w:tc>
        <w:tc>
          <w:tcPr>
            <w:tcW w:type="dxa" w:w="2160"/>
          </w:tcPr>
          <w:p>
            <w:r>
              <w:rPr>
                <w:rFonts w:ascii="Times New Roman" w:hAnsi="Times New Roman"/>
                <w:sz w:val="18"/>
              </w:rPr>
              <w:t>Cost/Operational</w:t>
            </w:r>
          </w:p>
        </w:tc>
        <w:tc>
          <w:tcPr>
            <w:tcW w:type="dxa" w:w="2160"/>
          </w:tcPr>
          <w:p>
            <w:r>
              <w:rPr>
                <w:rFonts w:ascii="Times New Roman" w:hAnsi="Times New Roman"/>
                <w:sz w:val="18"/>
              </w:rPr>
              <w:t>Mirzaei et al. (2021); Li et al. (2025)</w:t>
            </w:r>
          </w:p>
        </w:tc>
        <w:tc>
          <w:tcPr>
            <w:tcW w:type="dxa" w:w="2160"/>
          </w:tcPr>
          <w:p>
            <w:r>
              <w:rPr>
                <w:rFonts w:ascii="Times New Roman" w:hAnsi="Times New Roman"/>
                <w:sz w:val="18"/>
              </w:rPr>
              <w:t>—</w:t>
            </w:r>
          </w:p>
        </w:tc>
        <w:tc>
          <w:tcPr>
            <w:tcW w:type="dxa" w:w="2160"/>
          </w:tcPr>
          <w:p>
            <w:r>
              <w:rPr>
                <w:rFonts w:ascii="Times New Roman" w:hAnsi="Times New Roman"/>
                <w:sz w:val="18"/>
              </w:rPr>
              <w:t>D'Ambrosio &amp; Lavoratori (2025)</w:t>
            </w:r>
          </w:p>
        </w:tc>
        <w:tc>
          <w:tcPr>
            <w:tcW w:type="dxa" w:w="2160"/>
          </w:tcPr>
          <w:p>
            <w:r>
              <w:rPr>
                <w:rFonts w:ascii="Times New Roman" w:hAnsi="Times New Roman"/>
                <w:sz w:val="18"/>
              </w:rPr>
              <w:t>No</w:t>
            </w:r>
          </w:p>
        </w:tc>
      </w:tr>
      <w:tr>
        <w:tc>
          <w:tcPr>
            <w:tcW w:type="dxa" w:w="2160"/>
          </w:tcPr>
          <w:p>
            <w:r>
              <w:rPr>
                <w:rFonts w:ascii="Times New Roman" w:hAnsi="Times New Roman"/>
                <w:sz w:val="18"/>
              </w:rPr>
              <w:t>Hybrid-operation coordination complexity (partial reshoring)</w:t>
            </w:r>
          </w:p>
        </w:tc>
        <w:tc>
          <w:tcPr>
            <w:tcW w:type="dxa" w:w="2160"/>
          </w:tcPr>
          <w:p>
            <w:r>
              <w:rPr>
                <w:rFonts w:ascii="Times New Roman" w:hAnsi="Times New Roman"/>
                <w:sz w:val="18"/>
              </w:rPr>
              <w:t>Cost/Operational</w:t>
            </w:r>
          </w:p>
        </w:tc>
        <w:tc>
          <w:tcPr>
            <w:tcW w:type="dxa" w:w="2160"/>
          </w:tcPr>
          <w:p>
            <w:r>
              <w:rPr>
                <w:rFonts w:ascii="Times New Roman" w:hAnsi="Times New Roman"/>
                <w:sz w:val="18"/>
              </w:rPr>
              <w:t>Pedroletti (2025)</w:t>
            </w:r>
          </w:p>
        </w:tc>
        <w:tc>
          <w:tcPr>
            <w:tcW w:type="dxa" w:w="2160"/>
          </w:tcPr>
          <w:p>
            <w:r>
              <w:rPr>
                <w:rFonts w:ascii="Times New Roman" w:hAnsi="Times New Roman"/>
                <w:sz w:val="18"/>
              </w:rPr>
              <w:t>—</w:t>
            </w:r>
          </w:p>
        </w:tc>
        <w:tc>
          <w:tcPr>
            <w:tcW w:type="dxa" w:w="2160"/>
          </w:tcPr>
          <w:p>
            <w:r>
              <w:rPr>
                <w:rFonts w:ascii="Times New Roman" w:hAnsi="Times New Roman"/>
                <w:sz w:val="18"/>
              </w:rPr>
              <w:t>—</w:t>
            </w:r>
          </w:p>
        </w:tc>
        <w:tc>
          <w:tcPr>
            <w:tcW w:type="dxa" w:w="2160"/>
          </w:tcPr>
          <w:p>
            <w:r>
              <w:rPr>
                <w:rFonts w:ascii="Times New Roman" w:hAnsi="Times New Roman"/>
                <w:sz w:val="18"/>
              </w:rPr>
              <w:t>Yes — Pedroletti (single case)</w:t>
            </w:r>
          </w:p>
        </w:tc>
      </w:tr>
      <w:tr>
        <w:tc>
          <w:tcPr>
            <w:tcW w:type="dxa" w:w="2160"/>
          </w:tcPr>
          <w:p>
            <w:r>
              <w:rPr>
                <w:rFonts w:ascii="Times New Roman" w:hAnsi="Times New Roman"/>
                <w:sz w:val="18"/>
              </w:rPr>
              <w:t>Underestimated operational adjustments</w:t>
            </w:r>
          </w:p>
        </w:tc>
        <w:tc>
          <w:tcPr>
            <w:tcW w:type="dxa" w:w="2160"/>
          </w:tcPr>
          <w:p>
            <w:r>
              <w:rPr>
                <w:rFonts w:ascii="Times New Roman" w:hAnsi="Times New Roman"/>
                <w:sz w:val="18"/>
              </w:rPr>
              <w:t>Cost/Operational</w:t>
            </w:r>
          </w:p>
        </w:tc>
        <w:tc>
          <w:tcPr>
            <w:tcW w:type="dxa" w:w="2160"/>
          </w:tcPr>
          <w:p>
            <w:r>
              <w:rPr>
                <w:rFonts w:ascii="Times New Roman" w:hAnsi="Times New Roman"/>
                <w:sz w:val="18"/>
              </w:rPr>
              <w:t>Boffelli et al. (2021)</w:t>
            </w:r>
          </w:p>
        </w:tc>
        <w:tc>
          <w:tcPr>
            <w:tcW w:type="dxa" w:w="2160"/>
          </w:tcPr>
          <w:p>
            <w:r>
              <w:rPr>
                <w:rFonts w:ascii="Times New Roman" w:hAnsi="Times New Roman"/>
                <w:sz w:val="18"/>
              </w:rPr>
              <w:t>—</w:t>
            </w:r>
          </w:p>
        </w:tc>
        <w:tc>
          <w:tcPr>
            <w:tcW w:type="dxa" w:w="2160"/>
          </w:tcPr>
          <w:p>
            <w:r>
              <w:rPr>
                <w:rFonts w:ascii="Times New Roman" w:hAnsi="Times New Roman"/>
                <w:sz w:val="18"/>
              </w:rPr>
              <w:t>—</w:t>
            </w:r>
          </w:p>
        </w:tc>
        <w:tc>
          <w:tcPr>
            <w:tcW w:type="dxa" w:w="2160"/>
          </w:tcPr>
          <w:p>
            <w:r>
              <w:rPr>
                <w:rFonts w:ascii="Times New Roman" w:hAnsi="Times New Roman"/>
                <w:sz w:val="18"/>
              </w:rPr>
              <w:t>Partial — China main offshore location, no case split</w:t>
            </w:r>
          </w:p>
        </w:tc>
      </w:tr>
      <w:tr>
        <w:tc>
          <w:tcPr>
            <w:tcW w:type="dxa" w:w="2160"/>
          </w:tcPr>
          <w:p>
            <w:r>
              <w:rPr>
                <w:rFonts w:ascii="Times New Roman" w:hAnsi="Times New Roman"/>
                <w:sz w:val="18"/>
              </w:rPr>
              <w:t>Organisational readiness, behavioural biases, learning-by-trial</w:t>
            </w:r>
          </w:p>
        </w:tc>
        <w:tc>
          <w:tcPr>
            <w:tcW w:type="dxa" w:w="2160"/>
          </w:tcPr>
          <w:p>
            <w:r>
              <w:rPr>
                <w:rFonts w:ascii="Times New Roman" w:hAnsi="Times New Roman"/>
                <w:sz w:val="18"/>
              </w:rPr>
              <w:t>Cultural/Organisational</w:t>
            </w:r>
          </w:p>
        </w:tc>
        <w:tc>
          <w:tcPr>
            <w:tcW w:type="dxa" w:w="2160"/>
          </w:tcPr>
          <w:p>
            <w:r>
              <w:rPr>
                <w:rFonts w:ascii="Times New Roman" w:hAnsi="Times New Roman"/>
                <w:sz w:val="18"/>
              </w:rPr>
              <w:t>Boffelli et al. (2021)</w:t>
            </w:r>
          </w:p>
        </w:tc>
        <w:tc>
          <w:tcPr>
            <w:tcW w:type="dxa" w:w="2160"/>
          </w:tcPr>
          <w:p>
            <w:r>
              <w:rPr>
                <w:rFonts w:ascii="Times New Roman" w:hAnsi="Times New Roman"/>
                <w:sz w:val="18"/>
              </w:rPr>
              <w:t>Wiesmann et al. (2017)</w:t>
            </w:r>
          </w:p>
        </w:tc>
        <w:tc>
          <w:tcPr>
            <w:tcW w:type="dxa" w:w="2160"/>
          </w:tcPr>
          <w:p>
            <w:r>
              <w:rPr>
                <w:rFonts w:ascii="Times New Roman" w:hAnsi="Times New Roman"/>
                <w:sz w:val="18"/>
              </w:rPr>
              <w:t>D'Ambrosio &amp; Lavoratori (2025)</w:t>
            </w:r>
          </w:p>
        </w:tc>
        <w:tc>
          <w:tcPr>
            <w:tcW w:type="dxa" w:w="2160"/>
          </w:tcPr>
          <w:p>
            <w:r>
              <w:rPr>
                <w:rFonts w:ascii="Times New Roman" w:hAnsi="Times New Roman"/>
                <w:sz w:val="18"/>
              </w:rPr>
              <w:t>Partial — via Boffelli et al.</w:t>
            </w:r>
          </w:p>
        </w:tc>
      </w:tr>
      <w:tr>
        <w:tc>
          <w:tcPr>
            <w:tcW w:type="dxa" w:w="2160"/>
          </w:tcPr>
          <w:p>
            <w:r>
              <w:rPr>
                <w:rFonts w:ascii="Times New Roman" w:hAnsi="Times New Roman"/>
                <w:sz w:val="18"/>
              </w:rPr>
              <w:t>Intra-organisational silos &amp; weak employee involvement</w:t>
            </w:r>
          </w:p>
        </w:tc>
        <w:tc>
          <w:tcPr>
            <w:tcW w:type="dxa" w:w="2160"/>
          </w:tcPr>
          <w:p>
            <w:r>
              <w:rPr>
                <w:rFonts w:ascii="Times New Roman" w:hAnsi="Times New Roman"/>
                <w:sz w:val="18"/>
              </w:rPr>
              <w:t>Cultural/Organisational</w:t>
            </w:r>
          </w:p>
        </w:tc>
        <w:tc>
          <w:tcPr>
            <w:tcW w:type="dxa" w:w="2160"/>
          </w:tcPr>
          <w:p>
            <w:r>
              <w:rPr>
                <w:rFonts w:ascii="Times New Roman" w:hAnsi="Times New Roman"/>
                <w:sz w:val="18"/>
              </w:rPr>
              <w:t>Mirzaei et al. (2021)</w:t>
            </w:r>
          </w:p>
        </w:tc>
        <w:tc>
          <w:tcPr>
            <w:tcW w:type="dxa" w:w="2160"/>
          </w:tcPr>
          <w:p>
            <w:r>
              <w:rPr>
                <w:rFonts w:ascii="Times New Roman" w:hAnsi="Times New Roman"/>
                <w:sz w:val="18"/>
              </w:rPr>
              <w:t>—</w:t>
            </w:r>
          </w:p>
        </w:tc>
        <w:tc>
          <w:tcPr>
            <w:tcW w:type="dxa" w:w="2160"/>
          </w:tcPr>
          <w:p>
            <w:r>
              <w:rPr>
                <w:rFonts w:ascii="Times New Roman" w:hAnsi="Times New Roman"/>
                <w:sz w:val="18"/>
              </w:rPr>
              <w:t>—</w:t>
            </w:r>
          </w:p>
        </w:tc>
        <w:tc>
          <w:tcPr>
            <w:tcW w:type="dxa" w:w="2160"/>
          </w:tcPr>
          <w:p>
            <w:r>
              <w:rPr>
                <w:rFonts w:ascii="Times New Roman" w:hAnsi="Times New Roman"/>
                <w:sz w:val="18"/>
              </w:rPr>
              <w:t>No</w:t>
            </w:r>
          </w:p>
        </w:tc>
      </w:tr>
      <w:tr>
        <w:tc>
          <w:tcPr>
            <w:tcW w:type="dxa" w:w="2160"/>
          </w:tcPr>
          <w:p>
            <w:r>
              <w:rPr>
                <w:rFonts w:ascii="Times New Roman" w:hAnsi="Times New Roman"/>
                <w:sz w:val="18"/>
              </w:rPr>
              <w:t>Adverse host-supplier relational response</w:t>
            </w:r>
          </w:p>
        </w:tc>
        <w:tc>
          <w:tcPr>
            <w:tcW w:type="dxa" w:w="2160"/>
          </w:tcPr>
          <w:p>
            <w:r>
              <w:rPr>
                <w:rFonts w:ascii="Times New Roman" w:hAnsi="Times New Roman"/>
                <w:sz w:val="18"/>
              </w:rPr>
              <w:t>Cultural/Organisational</w:t>
            </w:r>
          </w:p>
        </w:tc>
        <w:tc>
          <w:tcPr>
            <w:tcW w:type="dxa" w:w="2160"/>
          </w:tcPr>
          <w:p>
            <w:r>
              <w:rPr>
                <w:rFonts w:ascii="Times New Roman" w:hAnsi="Times New Roman"/>
                <w:sz w:val="18"/>
              </w:rPr>
              <w:t>Pedroletti (2025)</w:t>
            </w:r>
          </w:p>
        </w:tc>
        <w:tc>
          <w:tcPr>
            <w:tcW w:type="dxa" w:w="2160"/>
          </w:tcPr>
          <w:p>
            <w:r>
              <w:rPr>
                <w:rFonts w:ascii="Times New Roman" w:hAnsi="Times New Roman"/>
                <w:sz w:val="18"/>
              </w:rPr>
              <w:t>—</w:t>
            </w:r>
          </w:p>
        </w:tc>
        <w:tc>
          <w:tcPr>
            <w:tcW w:type="dxa" w:w="2160"/>
          </w:tcPr>
          <w:p>
            <w:r>
              <w:rPr>
                <w:rFonts w:ascii="Times New Roman" w:hAnsi="Times New Roman"/>
                <w:sz w:val="18"/>
              </w:rPr>
              <w:t>—</w:t>
            </w:r>
          </w:p>
        </w:tc>
        <w:tc>
          <w:tcPr>
            <w:tcW w:type="dxa" w:w="2160"/>
          </w:tcPr>
          <w:p>
            <w:r>
              <w:rPr>
                <w:rFonts w:ascii="Times New Roman" w:hAnsi="Times New Roman"/>
                <w:sz w:val="18"/>
              </w:rPr>
              <w:t>Yes — Pedroletti (single case)</w:t>
            </w:r>
          </w:p>
        </w:tc>
      </w:tr>
      <w:tr>
        <w:tc>
          <w:tcPr>
            <w:tcW w:type="dxa" w:w="2160"/>
          </w:tcPr>
          <w:p>
            <w:r>
              <w:rPr>
                <w:rFonts w:ascii="Times New Roman" w:hAnsi="Times New Roman"/>
                <w:sz w:val="18"/>
              </w:rPr>
              <w:t>Governance mode of the return (gap)</w:t>
            </w:r>
          </w:p>
        </w:tc>
        <w:tc>
          <w:tcPr>
            <w:tcW w:type="dxa" w:w="2160"/>
          </w:tcPr>
          <w:p>
            <w:r>
              <w:rPr>
                <w:rFonts w:ascii="Times New Roman" w:hAnsi="Times New Roman"/>
                <w:sz w:val="18"/>
              </w:rPr>
              <w:t>Cultural/Organisational</w:t>
            </w:r>
          </w:p>
        </w:tc>
        <w:tc>
          <w:tcPr>
            <w:tcW w:type="dxa" w:w="2160"/>
          </w:tcPr>
          <w:p>
            <w:r>
              <w:rPr>
                <w:rFonts w:ascii="Times New Roman" w:hAnsi="Times New Roman"/>
                <w:sz w:val="18"/>
              </w:rPr>
              <w:t>—</w:t>
            </w:r>
          </w:p>
        </w:tc>
        <w:tc>
          <w:tcPr>
            <w:tcW w:type="dxa" w:w="2160"/>
          </w:tcPr>
          <w:p>
            <w:r>
              <w:rPr>
                <w:rFonts w:ascii="Times New Roman" w:hAnsi="Times New Roman"/>
                <w:sz w:val="18"/>
              </w:rPr>
              <w:t>Pedroletti &amp; Ciabuschi (2023)</w:t>
            </w:r>
          </w:p>
        </w:tc>
        <w:tc>
          <w:tcPr>
            <w:tcW w:type="dxa" w:w="2160"/>
          </w:tcPr>
          <w:p>
            <w:r>
              <w:rPr>
                <w:rFonts w:ascii="Times New Roman" w:hAnsi="Times New Roman"/>
                <w:sz w:val="18"/>
              </w:rPr>
              <w:t>—</w:t>
            </w:r>
          </w:p>
        </w:tc>
        <w:tc>
          <w:tcPr>
            <w:tcW w:type="dxa" w:w="2160"/>
          </w:tcPr>
          <w:p>
            <w:r>
              <w:rPr>
                <w:rFonts w:ascii="Times New Roman" w:hAnsi="Times New Roman"/>
                <w:sz w:val="18"/>
              </w:rPr>
              <w:t>No — reported as under-researched dimension</w:t>
            </w:r>
          </w:p>
        </w:tc>
      </w:tr>
      <w:tr>
        <w:tc>
          <w:tcPr>
            <w:tcW w:type="dxa" w:w="2160"/>
          </w:tcPr>
          <w:p>
            <w:r>
              <w:rPr>
                <w:rFonts w:ascii="Times New Roman" w:hAnsi="Times New Roman"/>
                <w:sz w:val="18"/>
              </w:rPr>
              <w:t>Digital/organisational adaptation burden</w:t>
            </w:r>
          </w:p>
        </w:tc>
        <w:tc>
          <w:tcPr>
            <w:tcW w:type="dxa" w:w="2160"/>
          </w:tcPr>
          <w:p>
            <w:r>
              <w:rPr>
                <w:rFonts w:ascii="Times New Roman" w:hAnsi="Times New Roman"/>
                <w:sz w:val="18"/>
              </w:rPr>
              <w:t>Cultural/Organisational</w:t>
            </w:r>
          </w:p>
        </w:tc>
        <w:tc>
          <w:tcPr>
            <w:tcW w:type="dxa" w:w="2160"/>
          </w:tcPr>
          <w:p>
            <w:r>
              <w:rPr>
                <w:rFonts w:ascii="Times New Roman" w:hAnsi="Times New Roman"/>
                <w:sz w:val="18"/>
              </w:rPr>
              <w:t>—</w:t>
            </w:r>
          </w:p>
        </w:tc>
        <w:tc>
          <w:tcPr>
            <w:tcW w:type="dxa" w:w="2160"/>
          </w:tcPr>
          <w:p>
            <w:r>
              <w:rPr>
                <w:rFonts w:ascii="Times New Roman" w:hAnsi="Times New Roman"/>
                <w:sz w:val="18"/>
              </w:rPr>
              <w:t>Bilbao-Ubillos et al. (2024); Espíndola et al. (2023)</w:t>
            </w:r>
          </w:p>
        </w:tc>
        <w:tc>
          <w:tcPr>
            <w:tcW w:type="dxa" w:w="2160"/>
          </w:tcPr>
          <w:p>
            <w:r>
              <w:rPr>
                <w:rFonts w:ascii="Times New Roman" w:hAnsi="Times New Roman"/>
                <w:sz w:val="18"/>
              </w:rPr>
              <w:t>Gupta et al. (2023); D'Ambrosio &amp; Lavoratori (2025)</w:t>
            </w:r>
          </w:p>
        </w:tc>
        <w:tc>
          <w:tcPr>
            <w:tcW w:type="dxa" w:w="2160"/>
          </w:tcPr>
          <w:p>
            <w:r>
              <w:rPr>
                <w:rFonts w:ascii="Times New Roman" w:hAnsi="Times New Roman"/>
                <w:sz w:val="18"/>
              </w:rPr>
              <w:t>No</w:t>
            </w:r>
          </w:p>
        </w:tc>
      </w:tr>
      <w:tr>
        <w:tc>
          <w:tcPr>
            <w:tcW w:type="dxa" w:w="2160"/>
          </w:tcPr>
          <w:p>
            <w:r>
              <w:rPr>
                <w:rFonts w:ascii="Times New Roman" w:hAnsi="Times New Roman"/>
                <w:sz w:val="18"/>
              </w:rPr>
              <w:t>Host-country exit regulation</w:t>
            </w:r>
          </w:p>
        </w:tc>
        <w:tc>
          <w:tcPr>
            <w:tcW w:type="dxa" w:w="2160"/>
          </w:tcPr>
          <w:p>
            <w:r>
              <w:rPr>
                <w:rFonts w:ascii="Times New Roman" w:hAnsi="Times New Roman"/>
                <w:sz w:val="18"/>
              </w:rPr>
              <w:t>Regulatory/Institutional</w:t>
            </w:r>
          </w:p>
        </w:tc>
        <w:tc>
          <w:tcPr>
            <w:tcW w:type="dxa" w:w="2160"/>
          </w:tcPr>
          <w:p>
            <w:r>
              <w:rPr>
                <w:rFonts w:ascii="Times New Roman" w:hAnsi="Times New Roman"/>
                <w:sz w:val="18"/>
              </w:rPr>
              <w:t>Li et al. (2025)</w:t>
            </w:r>
          </w:p>
        </w:tc>
        <w:tc>
          <w:tcPr>
            <w:tcW w:type="dxa" w:w="2160"/>
          </w:tcPr>
          <w:p>
            <w:r>
              <w:rPr>
                <w:rFonts w:ascii="Times New Roman" w:hAnsi="Times New Roman"/>
                <w:sz w:val="18"/>
              </w:rPr>
              <w:t>Di Stefano &amp; Fratocchi (2019)</w:t>
            </w:r>
          </w:p>
        </w:tc>
        <w:tc>
          <w:tcPr>
            <w:tcW w:type="dxa" w:w="2160"/>
          </w:tcPr>
          <w:p>
            <w:r>
              <w:rPr>
                <w:rFonts w:ascii="Times New Roman" w:hAnsi="Times New Roman"/>
                <w:sz w:val="18"/>
              </w:rPr>
              <w:t>—</w:t>
            </w:r>
          </w:p>
        </w:tc>
        <w:tc>
          <w:tcPr>
            <w:tcW w:type="dxa" w:w="2160"/>
          </w:tcPr>
          <w:p>
            <w:r>
              <w:rPr>
                <w:rFonts w:ascii="Times New Roman" w:hAnsi="Times New Roman"/>
                <w:sz w:val="18"/>
              </w:rPr>
              <w:t>No confirmed — reported as general</w:t>
            </w:r>
          </w:p>
        </w:tc>
      </w:tr>
      <w:tr>
        <w:tc>
          <w:tcPr>
            <w:tcW w:type="dxa" w:w="2160"/>
          </w:tcPr>
          <w:p>
            <w:r>
              <w:rPr>
                <w:rFonts w:ascii="Times New Roman" w:hAnsi="Times New Roman"/>
                <w:sz w:val="18"/>
              </w:rPr>
              <w:t>Social-responsibility &amp; workforce-resistance exit constraints</w:t>
            </w:r>
          </w:p>
        </w:tc>
        <w:tc>
          <w:tcPr>
            <w:tcW w:type="dxa" w:w="2160"/>
          </w:tcPr>
          <w:p>
            <w:r>
              <w:rPr>
                <w:rFonts w:ascii="Times New Roman" w:hAnsi="Times New Roman"/>
                <w:sz w:val="18"/>
              </w:rPr>
              <w:t>Regulatory/Institutional</w:t>
            </w:r>
          </w:p>
        </w:tc>
        <w:tc>
          <w:tcPr>
            <w:tcW w:type="dxa" w:w="2160"/>
          </w:tcPr>
          <w:p>
            <w:r>
              <w:rPr>
                <w:rFonts w:ascii="Times New Roman" w:hAnsi="Times New Roman"/>
                <w:sz w:val="18"/>
              </w:rPr>
              <w:t>—</w:t>
            </w:r>
          </w:p>
        </w:tc>
        <w:tc>
          <w:tcPr>
            <w:tcW w:type="dxa" w:w="2160"/>
          </w:tcPr>
          <w:p>
            <w:r>
              <w:rPr>
                <w:rFonts w:ascii="Times New Roman" w:hAnsi="Times New Roman"/>
                <w:sz w:val="18"/>
              </w:rPr>
              <w:t>Di Stefano &amp; Fratocchi (2019)</w:t>
            </w:r>
          </w:p>
        </w:tc>
        <w:tc>
          <w:tcPr>
            <w:tcW w:type="dxa" w:w="2160"/>
          </w:tcPr>
          <w:p>
            <w:r>
              <w:rPr>
                <w:rFonts w:ascii="Times New Roman" w:hAnsi="Times New Roman"/>
                <w:sz w:val="18"/>
              </w:rPr>
              <w:t>—</w:t>
            </w:r>
          </w:p>
        </w:tc>
        <w:tc>
          <w:tcPr>
            <w:tcW w:type="dxa" w:w="2160"/>
          </w:tcPr>
          <w:p>
            <w:r>
              <w:rPr>
                <w:rFonts w:ascii="Times New Roman" w:hAnsi="Times New Roman"/>
                <w:sz w:val="18"/>
              </w:rPr>
              <w:t>No</w:t>
            </w:r>
          </w:p>
        </w:tc>
      </w:tr>
      <w:tr>
        <w:tc>
          <w:tcPr>
            <w:tcW w:type="dxa" w:w="2160"/>
          </w:tcPr>
          <w:p>
            <w:r>
              <w:rPr>
                <w:rFonts w:ascii="Times New Roman" w:hAnsi="Times New Roman"/>
                <w:sz w:val="18"/>
              </w:rPr>
              <w:t>Home-country compliance burden &amp; institutional frictions</w:t>
            </w:r>
          </w:p>
        </w:tc>
        <w:tc>
          <w:tcPr>
            <w:tcW w:type="dxa" w:w="2160"/>
          </w:tcPr>
          <w:p>
            <w:r>
              <w:rPr>
                <w:rFonts w:ascii="Times New Roman" w:hAnsi="Times New Roman"/>
                <w:sz w:val="18"/>
              </w:rPr>
              <w:t>Regulatory/Institutional</w:t>
            </w:r>
          </w:p>
        </w:tc>
        <w:tc>
          <w:tcPr>
            <w:tcW w:type="dxa" w:w="2160"/>
          </w:tcPr>
          <w:p>
            <w:r>
              <w:rPr>
                <w:rFonts w:ascii="Times New Roman" w:hAnsi="Times New Roman"/>
                <w:sz w:val="18"/>
              </w:rPr>
              <w:t>Mirzaei et al. (2021)</w:t>
            </w:r>
          </w:p>
        </w:tc>
        <w:tc>
          <w:tcPr>
            <w:tcW w:type="dxa" w:w="2160"/>
          </w:tcPr>
          <w:p>
            <w:r>
              <w:rPr>
                <w:rFonts w:ascii="Times New Roman" w:hAnsi="Times New Roman"/>
                <w:sz w:val="18"/>
              </w:rPr>
              <w:t>—</w:t>
            </w:r>
          </w:p>
        </w:tc>
        <w:tc>
          <w:tcPr>
            <w:tcW w:type="dxa" w:w="2160"/>
          </w:tcPr>
          <w:p>
            <w:r>
              <w:rPr>
                <w:rFonts w:ascii="Times New Roman" w:hAnsi="Times New Roman"/>
                <w:sz w:val="18"/>
              </w:rPr>
              <w:t>Gupta et al. (2023); Robinson &amp; Hsieh (2016, contextual)</w:t>
            </w:r>
          </w:p>
        </w:tc>
        <w:tc>
          <w:tcPr>
            <w:tcW w:type="dxa" w:w="2160"/>
          </w:tcPr>
          <w:p>
            <w:r>
              <w:rPr>
                <w:rFonts w:ascii="Times New Roman" w:hAnsi="Times New Roman"/>
                <w:sz w:val="18"/>
              </w:rPr>
              <w:t>No</w:t>
            </w:r>
          </w:p>
        </w:tc>
      </w:tr>
    </w:tbl>
    <w:p>
      <w:pPr>
        <w:sectPr>
          <w:pgSz w:w="15840" w:h="12240" w:orient="landscape"/>
          <w:pgMar w:top="1440" w:right="1440" w:bottom="1440" w:left="1440" w:header="720" w:footer="720" w:gutter="0"/>
          <w:cols w:space="720"/>
          <w:docGrid w:linePitch="360"/>
        </w:sectPr>
      </w:pPr>
    </w:p>
    <w:p>
      <w:pPr>
        <w:pStyle w:val="Heading2"/>
      </w:pPr>
      <w:r>
        <w:t>4.2 Regulatory/Institutional Barriers</w:t>
      </w:r>
    </w:p>
    <w:p>
      <w:r>
        <w:t>Of the four categories, the regulatory/institutional category is supported by the least direct empirical evidence: as Table 1 shows, only two of its themes have any direct empirical source, and one theme rests on review evidence alone. Most of the category's content is accordingly review-level or conceptual, and it is reported here with that status made explicit.</w:t>
      </w:r>
    </w:p>
    <w:p>
      <w:r>
        <w:t>The first theme concerns host-country constraints on exiting the offshore operation. Among the Swedish manufacturing firms studied by Li et al. (2025), strict host-country layoff regulations, the inability to close or reduce offshore operations quickly, locked investments, and substantial exit costs were identified as barriers; this finding is reported here as general evidence, since the study does not tie it to a specific Asian host. The review literature reports convergent constraints: Di Stefano and Fratocchi (2019) note national closure regulations, foreign-plant exit costs in the form of closure fees and fiscal obligations, and host-country layoff constraints as obstacles to exiting offshore production discussed in the back-shoring literature. Together, the direct finding and the review evidence indicate that the disengagement side of reshoring can itself be regulated in ways that delay or burden implementation.</w:t>
      </w:r>
    </w:p>
    <w:p>
      <w:r>
        <w:t>Second, the review literature identifies social constraints on plant exit that operate alongside formal regulation. Di Stefano and Fratocchi (2019) report that social-responsibility considerations — managerial reluctance to close a facility or lay off its workforce — can constrain the decision and implementation of foreign-plant closure, and the same review notes potential employee resistance during the closure of foreign production facilities, although the available evidence for this latter point is limited and context-dependent. No direct empirical study in the sample observes these constraints, and they are therefore reported strictly as review evidence.</w:t>
      </w:r>
    </w:p>
    <w:p>
      <w:r>
        <w:t>Third, institutional frictions arise on the home side. Mirzaei et al. (2021) identify a mismatch between the national education system and manufacturing skill needs as a challenge to competitive domestic manufacturing — a constraint an individual firm cannot readily change. Conceptually, Gupta et al. (2023) identify home-country regulatory compliance — labour regulation, environmental standards, taxation, and production permits — as a constraint that becomes a barrier where it adds significant cost, delay, or capability demands. Contextually, labour-migration-policy conditions have been noted as a constraint on expanding domestic manufacturing (Robinson &amp; Hsieh, 2016), although this point is reported here as background rather than as a firm-level finding.</w:t>
      </w:r>
    </w:p>
    <w:p>
      <w:pPr>
        <w:pStyle w:val="Heading2"/>
      </w:pPr>
      <w:r>
        <w:t>4.3 Cultural/Organisational Barriers</w:t>
      </w:r>
    </w:p>
    <w:p>
      <w:r>
        <w:t>The strongest direct evidence in this category concerns the implementation stage itself. Across the four fashion-industry relocation cases studied by Boffelli et al. (2021), the failure of relocation initiatives was directly connected to mistakes made in the implementation phase, and the study identifies insufficient internal organisational readiness, managerial behavioural biases, and learning through trial-and-error during implementation as implementation-stage problems; its central conclusion is that reshoring succeeds only if firms manage implementation correctly. China features as the main offshore location across this sample, though the findings are not disaggregated by case. The review literature reports related organisational weaknesses — the immaturity of firms' reshoring processes and internal communication gaps (Wiesmann et al., 2017) — and, conceptually, a managerial-capability gap has been argued to constrain reshoring particularly for smaller firms (D'Ambrosio &amp; Lavoratori, 2025).</w:t>
      </w:r>
    </w:p>
    <w:p>
      <w:r>
        <w:t>A second, comparatively rare finding concerns the firm's internal structure. Mirzaei et al. (2021) identify silos between product development, production, sourcing, sales, and finance, and insufficient employee involvement, as challenges to competitive domestic manufacturing. This is a single study's evidence from the general Swedish home-country context rather than a corpus-wide pattern, and it is reported as such.</w:t>
      </w:r>
    </w:p>
    <w:p>
      <w:r>
        <w:t>Third, the inter-firm relational dimension emerges from the China-to-Italy partial-reshoring case (Pedroletti, 2025). Reducing the activities conducted by the Chinese supplier lowered the level of interaction and risked the reshoring firm being perceived as an unreliable partner, hampering the supplier's trust and mutual orientation; the supplier may end the relationship or turn to a competitor. This adverse supplier response is a finding of one detailed case and is not generalised beyond it.</w:t>
      </w:r>
    </w:p>
    <w:p>
      <w:r>
        <w:t>Fourth, the review literature identifies the governance mode of the return — whether reshored production is rebuilt in-house or outsourced to a domestic supplier — as an under-researched dimension of reshoring rather than a documented barrier (Pedroletti &amp; Ciabuschi, 2023). It is recorded here as a gap in the evidence.</w:t>
      </w:r>
    </w:p>
    <w:p>
      <w:r>
        <w:t>Finally, where reshoring is technology-enabled, an organisational-adaptation burden is reported consistently at review level. Digital adaptation requires changing routines, responsibilities, information flows, and supplier and customer relationships rather than merely purchasing technology, alongside a shortage of digital technical skills (Bilbao-Ubillos et al., 2024); technology-implementation readiness and the absence of a valid business model preceding the technology choice are likewise reported among barriers at the intersection of reshoring and Industry 4.0 (Espíndola et al., 2023). Conceptually, Industry 4.0 is framed as playing a dual role — an enabler of reshoring that simultaneously imposes new requirements in digital skills, investment, integration, and organisational adaptation (Gupta et al., 2023) — and an automation-scale threshold has been argued whereby automation does not automatically ease reshoring (D'Ambrosio &amp; Lavoratori, 2025). No direct empirical study in the sample observes this theme.</w:t>
      </w:r>
    </w:p>
    <w:p>
      <w:pPr>
        <w:pStyle w:val="Heading2"/>
      </w:pPr>
      <w:r>
        <w:t>4.4 Cost/Operational Barriers</w:t>
      </w:r>
    </w:p>
    <w:p>
      <w:r>
        <w:t>The first cost/operational theme is the depleted domestic supply base. Mirzaei et al. (2021) find that firms may remain dependent on foreign suppliers even after production returns, because domestic materials, specialised components, supplier know-how, or sufficient local scale are lacking. Di Mauro et al. (2018) similarly report a depleted supply base in high-cost home countries and the need to rebuild suppliers as challenges entailed by backshoring; two of that study's four cases returned from China, although the individual findings are not attributed to specific cases. The review literature reinforces the theme: weak home-country supplier capacity, local networks, and supply-chain integration are reported as barriers (Wiesmann et al., 2017), and the erosion of domestic supplier networks is identified as an implementation concern discussed in the reshoring literature (Ocicka, 2016). Conceptually, a domestic quality-supplier gap is also noted (Gupta et al., 2023).</w:t>
      </w:r>
    </w:p>
    <w:p>
      <w:r>
        <w:t>Second, the return itself generates new costs. Among the Swedish firms studied by Li et al. (2025), cost miscalculation was identified where actual cost difficulties arose during or after relocation. At review level, implementation-cost escalation and cost-coordination complexity are reported among the barriers at the reshoring–Industry 4.0 intersection (Espíndola et al., 2023). Conceptually, D'Ambrosio and Lavoratori (2025) describe the new fixed costs of reshoring — building or restoring a plant, acquiring equipment and automation, hiring and training workers, and rebuilding a domestic supplier network — as among the most direct implementation barriers, and switching and reconfiguration costs, including duplicate operations during the transition, are conceptually identified by Gupta et al. (2023). These new costs of the return are distinct from the sunk costs of the offshore operation, which are reported separately in Section 4.5.</w:t>
      </w:r>
    </w:p>
    <w:p>
      <w:r>
        <w:t>Third, a high-cost home environment constrains the viability and scale of reshoring rather than blocking physical relocation. Labour cost was named as a challenge by all five case firms studied by Mirzaei et al. (2021), alongside high energy and overhead costs; labour, overhead, and total costs were likewise among the prominent barriers reported across the Swedish firms studied by Li et al. (2025). Conceptually, a home-country factor-cost disadvantage is argued to affect the economic feasibility and scale of the return (D'Ambrosio &amp; Lavoratori, 2025). This theme is reported here strictly as a constraint on re-established domestic production, not as a motive in the original offshoring decision.</w:t>
      </w:r>
    </w:p>
    <w:p>
      <w:r>
        <w:t>Fourth, where only part of production returns, hybrid operation creates its own operational burden. In the China-to-Italy case (Pedroletti, 2025), partial reshoring split production between Italian and Chinese suppliers, requiring technically compatible components and more active cross-country coordination at additional cost; reducing the supplier base also left the firm dependent on fewer, non-substitutable partners, with reduced bargaining power and higher switching costs. This is the finding of one detailed case.</w:t>
      </w:r>
    </w:p>
    <w:p>
      <w:r>
        <w:t>Fifth, the underestimation of operational adjustments during the transfer — linked to reconfiguring the manufacturing process and adapting internal production — emerged as the strongest implementation barrier in the multi-case fashion study of Boffelli et al. (2021). The finding is the study's own rating and is not extended beyond its four-case sample.</w:t>
      </w:r>
    </w:p>
    <w:p>
      <w:pPr>
        <w:pStyle w:val="Heading2"/>
      </w:pPr>
      <w:r>
        <w:t>4.5 Asset/Capability Barriers</w:t>
      </w:r>
    </w:p>
    <w:p>
      <w:r>
        <w:t>The loss of domestic skilled labour and manufacturing competence is the most broadly supported barrier in the corpus, appearing in direct case evidence, across the review literature, and in conceptual argument. In the China-to-UK case reported by Pegoraro et al. (2022), the firm initially lacked the knowledge to produce the part independently; workforce training and the learning curve — mastering new equipment, training staff, accumulating practical experience, and reaching acceptable quality — extended over roughly a twelve-month period in that case. Among Swedish firms, an internal competence gap reflecting competencies lost over years of offshoring was identified by Li et al. (2025), and a domestic skilled-labour shortage — loss of tacit knowledge, deficits in core manufacturing competencies, and high training time and cost — by Mirzaei et al. (2021). Di Mauro et al. (2018) report a scarcity of specialised manpower and the loss of domestic competences as constraints on implementing the return. At review level, a skilled-labour shortage and internal capability gap (Wiesmann et al., 2017), a technical-skills shortage together with a generational manufacturing-skills gap (Ocicka, 2016), and a digital technical-skills shortage (Bilbao-Ubillos et al., 2024) are reported; conceptually, a domestic skilled-workforce shortage (D'Ambrosio &amp; Lavoratori, 2025) and a domestic labour-availability gap (Gupta et al., 2023) are argued.</w:t>
      </w:r>
    </w:p>
    <w:p>
      <w:r>
        <w:t>Closely related is the physical side of capability rebuilding. The same China-to-UK case demonstrates that re-establishing production is more than acquiring a machine: the firm had to identify the needed technology, locate and integrate suitable equipment, and additionally obtain tooling, tooling suppliers, software, technical support, and specialised services — rebuilding an interconnected production system rather than making a single purchase (Pegoraro et al., 2022). A domestic capacity shortage and facilities and equipment constraints were identified among Swedish firms even after the reshoring decision had been made (Li et al., 2025), and a domestic production-capacity gap — insufficient facilities, equipment limits, and investment resources — is reported by Mirzaei et al. (2021). The review literature records a domestic capacity shortage and an infrastructure lock-out following prolonged offshoring (Wiesmann et al., 2017), and the theme is embedded conceptually in the new-fixed-costs argument (D'Ambrosio &amp; Lavoratori, 2025) and in a conceptually noted domestic infrastructure gap (Gupta et al., 2023).</w:t>
      </w:r>
    </w:p>
    <w:p>
      <w:r>
        <w:t>Third, specialised capabilities concentrated with the host-country supplier can be difficult to repatriate. In the China-to-Italy case (Pedroletti, 2025), persistent dependence on specialised Chinese supplier capabilities constrained how much production could return: the firm lacked the necessary production knowledge, experience with the components, specialised sourcing skills, and suitable domestic suppliers, so that partial rather than full reshoring functioned as a response to the practical impossibility of fully replacing the Chinese network. The gap concerned this specific, specialised capability rather than domestic manufacturing capacity in general. Supplier and intellectual-property dependence — where the firm does not fully control rights to a component or technology and cannot simply move production home — was likewise identified among Swedish firms (Li et al., 2025). At review level, host-supplier dependence (Wiesmann et al., 2017) and offshore knowledge dependence (Bilbao-Ubillos et al., 2024) are reported, and knowledge-transfer ambiguity — knowledge residing with offshore employees, subsidiaries, suppliers, or the host-country network — is conceptually identified (Gupta et al., 2023).</w:t>
      </w:r>
    </w:p>
    <w:p>
      <w:r>
        <w:t>Fourth, established value chains exhibit inertia. Offshore sunk-cost inertia is reported at review level (Bilbao-Ubillos et al., 2024), and D'Ambrosio and Lavoratori (2025) argue conceptually that value chains are "sticky," particularly for large firms, owing to sunk investment, accumulated supplier relationships, specialised infrastructure, and location-specific knowledge. No direct empirical study in the sample observes this theme; it rests on review and conceptual evidence only, and the already-incurred offshore sunk costs it describes are distinct from the new fixed costs of the return reported in Section 4.4.</w:t>
      </w:r>
    </w:p>
    <w:p>
      <w:r>
        <w:t>Finally, a detailed UK case demonstrates that implementation depended on the readiness of the home region: the regional availability of skilled labour, specialised suppliers, equipment providers, policy support, and training institutions shaped the process, with gaps manifesting as added search and development time rather than absolute absence (Pegoraro et al., 2022). At review level, a related digital-ecosystem gap is reported: digital servitisation requires interaction with technology providers, data specialists, suppliers, and research institutions, whose absence becomes a barrier (Bilbao-Ubillos et al., 2024).</w:t>
      </w:r>
    </w:p>
    <w:p>
      <w:r>
        <w:t>In summary, this chapter has reported eighteen barrier themes across the four categories of the framework. The asset/capability category carries the broadest support, anchored by two Asia-specific single-case studies; the cost/operational and cultural/organisational categories combine direct empirical findings with review and conceptual support; and the regulatory/institutional category rests largely on review-level evidence. The following chapter interprets these findings, connects them to the theoretical perspectives of the thesis, and derives managerial implications.</w:t>
      </w:r>
    </w:p>
    <w:p>
      <w:pPr>
        <w:pStyle w:val="Heading1"/>
      </w:pPr>
      <w:r>
        <w:t>5 Discussion</w:t>
      </w:r>
    </w:p>
    <w:p>
      <w:r>
        <w:t>The previous chapter reported eighteen barrier themes across the four categories of the firm-level framework. This chapter moves from reporting to interpretation. It examines what the identified barriers mean for firms attempting to return production from Asian host countries, how the barriers relate to and reinforce one another, and why the pattern of evidence looks the way it does. The findings are then read through the two theoretical lenses of the thesis, Transaction Cost Economics and the Resource-Based View, in order to explain the underlying mechanisms rather than merely restate the observations. On this basis, the chapter derives managerial implications organised along the stages of the implementation process, before closing with an honest account of the limitations of the review and the research directions that follow from them. Throughout, interpretations developed by this thesis are distinguished from findings stated by the original studies, and direct implementation evidence is given greater analytical weight than review-level or conceptual material.</w:t>
      </w:r>
    </w:p>
    <w:p>
      <w:pPr>
        <w:pStyle w:val="Heading2"/>
      </w:pPr>
      <w:r>
        <w:t>5.1 Discussion of Results</w:t>
      </w:r>
    </w:p>
    <w:p>
      <w:r>
        <w:t>The most striking pattern in the results is the dominance of the asset/capability category. The domestic skills and competence gap is the only barrier theme supported by direct case evidence, review syntheses, and conceptual argument simultaneously, and the physical counterpart — missing capacity, machinery, and complementary tooling — is nearly as broadly supported. The present synthesis therefore indicates that the central difficulty of reshoring implementation is not primarily a matter of deciding correctly, or even of paying for the move, but of reconstructing productive capability that eroded during years of offshoring. The strongest evidence for this interpretation comes from the China-to-UK case reported by Pegoraro et al. (2022), in which acquiring the machinery was only the beginning: the firm also needed tooling, software, technical services, and roughly a year of workforce training before production reached acceptable quality. That a single acquisition decision unfolded into a twelve-month capability-building process in this case illustrates, more concretely than any aggregate finding, why the implementation stage deserves separate analytical attention. General empirical evidence points in the same direction — Swedish firms reported competence gaps, facilities constraints, and capacity shortages even after the reshoring decision had been made (Li et al., 2025; Mirzaei et al., 2021), and returning firms in labour-intensive industries encountered a scarcity of specialised manpower (Di Mauro et al., 2018) — while review-level syntheses record the same cluster across the wider literature (Wiesmann et al., 2017; Ocicka, 2016). It should be stressed that Li et al.'s (2025) findings are reported at the level of their Swedish sample and are not disaggregated by host country, so they support the general pattern rather than any China-specific claim.</w:t>
      </w:r>
    </w:p>
    <w:p>
      <w:r>
        <w:t>This capability reading explains why reshoring implementation is not simply offshoring in reverse. When production moved to Asia, it moved towards host locations that already possessed suppliers, skilled labour, and infrastructure; the offshoring firm could plug into an existing manufacturing ecosystem. The returning firm faces the opposite situation: the domestic ecosystem it left behind has partially disappeared. The review literature describes this as infrastructure lock-out and the hollowing-out of domestic supplier bases (Wiesmann et al., 2017; Ocicka, 2016), and the conceptual literature explains its persistence through the stickiness of established value chains (D'Ambrosio &amp; Lavoratori, 2025). The present synthesis adds that this asymmetry operates on both sides of the move at once. On the exit side, host-country layoff regulations, locked investments, and closure costs make leaving slow and expensive (Li et al., 2025; Di Stefano &amp; Fratocchi, 2019). On the arrival side, the firm must rebuild skills, equipment, and supplier relationships under the cost conditions of a high-wage economy (Mirzaei et al., 2021). A firm can therefore be caught between a host country that is costly to leave and a home country that is not ready to receive it — a combination that neither side's evidence, read alone, fully conveys.</w:t>
      </w:r>
    </w:p>
    <w:p>
      <w:r>
        <w:t>The results also suggest that barrier categories interact rather than operate independently. The clearest illustration is the China-to-Italy case reported by Pedroletti (2025). There, dependence on specialised Chinese supplier capabilities — an asset/capability barrier — made full reshoring practically impossible, which forced a partial return; partial return in turn split production between two countries, creating new coordination costs and reducing the firm's bargaining power towards its remaining suppliers — cost/operational barriers — while the reduced order volumes strained the supplier relationship itself, an organisational and relational barrier. One initial capability gap thus cascaded into operational and relational difficulties. A similar interaction appears between organisational readiness and every other category: Boffelli et al. (2021) found that relocation failures were directly connected to implementation-stage mistakes, which implies that weak readiness amplifies whatever other barriers a firm encounters, because problems that a prepared organisation could absorb become failures in an unprepared one. The present synthesis therefore treats organisational readiness less as one barrier among eighteen than as a condition that shapes how damaging the remaining barriers become. China features as the main offshore location in Boffelli et al.'s (2021) sample, though their findings are not broken down by case, so this interpretation rests on their aggregate result.</w:t>
      </w:r>
    </w:p>
    <w:p>
      <w:r>
        <w:t>The distinction between full and partial reshoring deserves particular emphasis, because it changes what "barrier" means. In the conventional reading, a barrier is something that makes reshoring harder or more likely to fail. The evidence from Pedroletti (2025) shows a second possibility: barriers can constrain the scope of reshoring, producing a hybrid configuration in which part of production returns and part remains offshore. In that case, the barrier did not stop the project; it redefined it. This matters for interpretation because studies that record reshoring as a binary event may miss such partial outcomes entirely, and because a partial return generates its own ongoing operational burden — the fine-slicing coordination reported in the case — rather than a one-off transition cost. The present synthesis suggests, cautiously, that partial reshoring should be read not only as a strategic choice but sometimes as the observable footprint of implementation barriers that made a full return infeasible.</w:t>
      </w:r>
    </w:p>
    <w:p>
      <w:r>
        <w:t>Two qualifications discipline all of these interpretations. First, the genuinely Asia-specific direct evidence consists of two single-case studies — one automotive supplier returning from China to the United Kingdom (Pegoraro et al., 2022) and one manufacturer partially returning from China to Italy (Pedroletti, 2025). These cases converge on capability rebuilding and supplier dependence as the operative difficulties, which is consistent with the general pattern, but two cases from one host country cannot represent Asian markets as a whole, and nothing in this synthesis should be read as a claim about, for instance, returns from Vietnam, India, or Indonesia. Second, the thinness of the regulatory/institutional category — the least supported by direct empirical evidence — should be interpreted carefully. It may reflect genuine unimportance, but it may equally reflect the composition of the evidence base: exit-side regulatory constraints were identified in the one study that looked for them systematically (Li et al., 2025) and recur in the review literature (Di Stefano &amp; Fratocchi, 2019), which suggests under-observation rather than absence. The synthesis weighs the categories by the evidence they have, while acknowledging that absence of evidence is not evidence of absence.</w:t>
      </w:r>
    </w:p>
    <w:p>
      <w:r>
        <w:t>Taken together, the results answer the core research question as follows. The central barriers that manufacturing firms face when implementing reshoring from Asian markets are, on the strongest available evidence, the reconstruction of domestic capability — skills, machinery, tooling, and the surrounding ecosystem — and dependence on specialised host-country suppliers, compounded by underestimated operational adjustments and organisational readiness gaps during the transfer, by the new fixed and coordination costs of the return, and, less visibly but persistently, by host-country exit constraints. These barriers are unevenly evidenced, interact with one another, and in at least one documented case limited how much production could return at all.</w:t>
      </w:r>
    </w:p>
    <w:p>
      <w:pPr>
        <w:pStyle w:val="Heading2"/>
      </w:pPr>
      <w:r>
        <w:t>5.2 Theoretical Implications</w:t>
      </w:r>
    </w:p>
    <w:p>
      <w:r>
        <w:t>From a Transaction Cost Economics perspective (Williamson, 1985), the exit-side findings acquire a common logic. Asset specificity — investment committed to a particular exchange relationship — explains why offshore arrangements resist unwinding: the locked investments and substantial exit costs reported among Swedish firms (Li et al., 2025), the closure fees and layoff constraints recorded in the review literature (Di Stefano &amp; Fratocchi, 2019), and the contractual and intellectual-property dependencies that prevent a firm from simply relocating production it does not fully control (Li et al., 2025) are all, in transaction-cost terms, the price of dismantling governance structures built around specific assets. The same lens interprets the hybrid configuration that follows a partial return: coordinating production split between home and host locations, with technically interdependent components moving between them, is precisely the kind of exchange that generates ongoing transaction costs, and the reduced bargaining power towards fewer, non-substitutable suppliers reported in the China-to-Italy case (Pedroletti, 2025) reflects the small-numbers dependency that transaction-cost reasoning associates with specific assets. Bounded rationality, finally, offers an interpretation of the miscalculation findings: firms underestimated operational adjustments (Boffelli et al., 2021) and encountered cost surprises during relocation (Li et al., 2025) not necessarily through negligence, but because the information needed for a complete ex ante calculation of an implementation process is not available in advance. It must be noted that, with the exception of studies that explicitly employ related frameworks, these are interpretations developed by this thesis; the reviewed studies did not test transaction-cost hypotheses, and the synthesis does not claim to validate the theory.</w:t>
      </w:r>
    </w:p>
    <w:p>
      <w:r>
        <w:t>Through a Resource-Based View lens (Barney, 1991), the arrival-side findings form an equally coherent picture. The capabilities that offshoring firms allowed to erode — manufacturing skills, tacit production knowledge, supplier relationships, and functioning regional ecosystems — are exactly the kinds of resources the theory identifies as difficult to imitate or acquire quickly: they are built through experience, embedded in people and routines, and dependent on complementary assets. This explains the most consistent finding of the review: capability gaps cannot be closed by purchase alone. The China-to-UK case demonstrates this in miniature — the machine could be bought, but the ability to operate it productively took a year of training and error-elimination to build (Pegoraro et al., 2022) — and the general evidence on skills shortages, generational knowledge loss, and supplier-network gaps (Di Mauro et al., 2018; Mirzaei et al., 2021; Ocicka, 2016) shows the same logic at sample level. An RBV reading also illuminates the regional ecosystem findings: the availability of skilled labour, specialised suppliers, and supporting institutions in the home region (Pegoraro et al., 2022) functions as a complementary resource endowment that individual firms draw on but cannot create alone.</w:t>
      </w:r>
    </w:p>
    <w:p>
      <w:r>
        <w:t>The two perspectives are most useful in combination, because several barriers are simultaneously transaction-cost and capability problems. Host-supplier dependence is the clearest example: from a TCE perspective it creates switching costs and a hold-up risk, while through an RBV lens it marks a capability the firm never internalised — and the China-to-Italy case shows both faces at once, with the firm unable to replace the supplier's specialised capability (a resource gap) and simultaneously exposed to deteriorating relational terms as volumes fell (a governance problem) (Pedroletti, 2025). Taken together, the two perspectives also explain the central puzzle the thesis began with: why firms that have already decided to reshore still struggle to do it. The decision reflects a comparison of locations; the implementation requires dismantling specific governance arrangements (TCE) and rebuilding scarce resources (RBV), and neither task is captured by the location comparison itself.</w:t>
      </w:r>
    </w:p>
    <w:p>
      <w:r>
        <w:t>The limitation of this theoretical apparatus should be acknowledged. Two findings sit awkwardly within it: the adverse relational response of the Chinese supplier in Pedroletti's (2025) case is better captured by the network and embeddedness perspective the study itself employs, which treats trust and mutual orientation as relationship-level phenomena rather than firm-level costs or resources; and the education-system mismatch reported by Mirzaei et al. (2021) is an institutional condition that neither TCE nor RBV addresses directly, since no individual firm can transact or resource its way out of a national skills shortage. Using TCE and RBV as the organising lenses therefore brings analytical clarity at the price of leaving relational and institutional dynamics at the margins — a boundary that future theoretical work on reshoring implementation might address.</w:t>
      </w:r>
    </w:p>
    <w:p>
      <w:pPr>
        <w:pStyle w:val="Heading2"/>
      </w:pPr>
      <w:r>
        <w:t>5.3 Practical Implications</w:t>
      </w:r>
    </w:p>
    <w:p>
      <w:r>
        <w:t>The managerial implications of the synthesis are best organised along the implementation process itself, because the evidence shows different barriers biting at different stages. They are presented here as evidence-based considerations rather than guaranteed solutions, and their relevance will vary with industry, production technology, firm size, the home-country ecosystem, and the depth of the firm's dependence on Asian suppliers.</w:t>
      </w:r>
    </w:p>
    <w:p>
      <w:r>
        <w:t>At the feasibility and preparation stage, the findings indicate the value of two assessments that the reviewed cases suggest are often incomplete. The first is a genuine total-cost analysis of the return: the evidence on cost miscalculation (Li et al., 2025) and underestimated operational adjustments (Boffelli et al., 2021) suggests that firms budget for the visible transaction — equipment, freight, facilities — while underestimating transition costs, ramp-up losses, and coordination burdens; the total-cost-of-acquisition logic discussed in the reshoring literature (Ocicka, 2016) applies as much to leaving Asia as it did to going there. The second is a capability audit conducted before commitment: managers should assess which production knowledge, skills, and supplier capabilities the firm actually controls, and which reside with the host-country supplier or subsidiary, since the China-to-Italy case shows that a capability the firm assumed it could replace determined the entire scope of what could be reshored (Pedroletti, 2025).</w:t>
      </w:r>
    </w:p>
    <w:p>
      <w:r>
        <w:t>At the exit stage, the findings indicate the value of legal and regulatory due diligence in the host country well before the decision is announced. Layoff regulations, closure restrictions, and contractual obligations shaped the speed and cost of exit among the firms studied by Li et al. (2025), and the review literature adds closure fees, fiscal obligations, and the social dimension of plant closure (Di Stefano &amp; Fratocchi, 2019). A firm considering reshoring should therefore account for exit costs and timelines as a distinct budget line, and — where the evidence on employee and stakeholder responses is taken seriously — plan the communication and treatment of the offshore workforce as part of implementation rather than as an afterthought.</w:t>
      </w:r>
    </w:p>
    <w:p>
      <w:r>
        <w:t>During transfer and rebuilding, the strongest single practical lesson of the review is that production capability is a system rather than a purchase. The China-to-UK case suggests that machinery acquisition should be planned together with complementary tooling, software, technical services, and a workforce-training programme with a realistic time horizon — in that case roughly twelve months of learning before acceptable quality was reached, a figure that should be treated as one case's experience rather than a norm, but that usefully calibrates expectations (Pegoraro et al., 2022). Because the domestic supplier base may have thinned during the offshoring years (Ocicka, 2016; Mirzaei et al., 2021), supplier mapping and early engagement with the home region's ecosystem — training institutions, equipment providers, industrial-support organisations — are indicated, since regional readiness manifested in the case evidence as search and development time added to the schedule (Pegoraro et al., 2022).</w:t>
      </w:r>
    </w:p>
    <w:p>
      <w:r>
        <w:t>For firms whose dependence on Asian suppliers proves difficult to unwind, the evidence suggests that a phased or partial approach may reduce risk relative to an all-or-nothing return — but with open eyes about its costs. Partial reshoring preserved access to irreplaceable supplier capabilities in the documented case, yet it created a lasting coordination burden between the home and host operations and shifted bargaining power towards the remaining suppliers (Pedroletti, 2025). Managers choosing this route should therefore plan for parallel production and cross-country coordination as a permanent operating condition rather than a transition phase, and should assess how the relationship with remaining suppliers will be maintained as volumes change, given the adverse supplier response observed when interaction declined.</w:t>
      </w:r>
    </w:p>
    <w:p>
      <w:r>
        <w:t>Finally, the organisational findings imply that implementation capacity itself deserves managerial attention. The connection between implementation mistakes and relocation failure (Boffelli et al., 2021), together with the evidence on internal silos and weak employee involvement in domestic manufacturing (Mirzaei et al., 2021), indicates the value of cross-functional coordination — bringing production, sourcing, product development, and finance into the reshoring programme early — and of treating the return as an organisational change project, not a logistics exercise. Where automation is part of the business case, the dual-role evidence should temper expectations: technology can offset home-country cost disadvantages, but its deployment demands digital skills, investment, and organisational adaptation of its own (Bilbao-Ubillos et al., 2024; Gupta et al., 2023; D'Ambrosio &amp; Lavoratori, 2025), so an automation-dependent reshoring plan should include an honest assessment of the firm's digital readiness and scale. Together, these considerations answer the second sub-question: the managerial route to mitigating reshoring barriers runs through early capability and dependency assessment, realistic total costing, host-country exit planning, systemic rebuilding of production capability, deliberate supplier reconfiguration, and investment in the organisation's own implementation capacity.</w:t>
      </w:r>
    </w:p>
    <w:p>
      <w:pPr>
        <w:pStyle w:val="Heading2"/>
      </w:pPr>
      <w:r>
        <w:t>5.4 Limitations and Future Research</w:t>
      </w:r>
    </w:p>
    <w:p>
      <w:r>
        <w:t>The conclusions of this thesis must be read against the limitations of its method and evidence base. As a systematic literature review, the study synthesises published research rather than observing reshoring directly, and it inherits the coverage and biases of that literature, including the likelihood that successfully completed reshoring projects are more visible in published research than abandoned or failed ones. The formal analytical sample is small — twenty-one studies, of which only a minority provide direct implementation evidence — and the genuinely Asia-specific direct evidence consists of two single-case studies, both documenting returns from China to Western Europe. The practical consequence is that the synthesis can identify and organise the barriers with reasonable confidence, but it cannot weight them by frequency or generalise the Asia-specific findings beyond the documented cases; the framework should be read as a structured map of the evidence, not a ranking of universal obstacles.</w:t>
      </w:r>
    </w:p>
    <w:p>
      <w:r>
        <w:t>Several limitations follow from the search and screening process. Literature discovery relied on Google Scholar, with the early searching conducted iteratively rather than under a prospectively documented protocol, and the review depended on English-language, accessible publications; relevant evidence in other languages or behind unavailable full texts may have been missed. Screening and coding were carried out by a single researcher, without the inter-coder reliability checks that a research team would allow. The evidence-classification dimensions used to organise the corpus record the type, relevance, and Asia-specificity of the evidence, but they do not amount to a full methodological quality appraisal of each study, and no claim in this thesis rests on verified page-level citations of the primary texts. Finally, the boundaries between the four framework categories — and between drivers, barriers, and outcomes — required judgement in several codings, since some reviewed studies do not separate the decision and implementation stages cleanly; the category assignments should therefore be treated as reasoned rather than mechanical.</w:t>
      </w:r>
    </w:p>
    <w:p>
      <w:r>
        <w:t>These limitations point directly to the research that is needed. The most valuable contribution would be longitudinal studies that follow firms through the entire reshoring process, from decision through exit, transfer, and ramp-up to stabilised domestic production, because the existing evidence captures stages in isolation and cannot show how barriers evolve or compound over time. Comparative work across different Asian host countries is needed for the same reason the present synthesis had to confine its Asia-specific claims to China: whether exit constraints, supplier dependence, and capability gaps operate similarly in returns from Vietnam, India, or other Asian manufacturing locations is simply unknown. The contrast between full and partial reshoring that emerged from the case evidence deserves systematic study, as does the behaviour of host-country suppliers when their customers reduce or withdraw volumes — the adverse-response finding rests on a single case and may vary considerably with market conditions. Research on failed or abandoned reshoring projects would correct the success bias inherent in the published record and would test the implementation-mistakes finding on the outcomes where it matters most. Studies of small and medium-sized firms are needed because the conceptual literature suggests their reshoring differs in kind — undertaken defensively and with thinner managerial resources (D'Ambrosio &amp; Lavoratori, 2025) — while most direct evidence comes from established manufacturers. Finally, the four-category framework developed here is a synthesis product and would benefit from quantitative testing across a larger sample of implementation cases, and the theoretical reading offered in Section 5.2 remains interpretive: direct empirical reshoring research that operationalises transaction-cost and resource-based constructs — asset specificity, switching costs, capability rebuilding time — would show whether the mechanisms proposed here in fact drive the barriers observed.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