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Introduction</w:t>
      </w:r>
    </w:p>
    <w:p>
      <w:r>
        <w:t>International manufacturing location has become one of the most actively debated questions in international business. After several decades in which firms from high-cost economies relocated production to Asian host countries, a growing number of manufacturers are now considering, announcing, or attempting the opposite movement: reshoring, understood as the return of previously offshored manufacturing activities from an Asian host country to the firm's home country. While the reasons for considering such a return have been examined extensively, considerably less is known about what happens when firms actually attempt to carry it out. This thesis addresses that question through a systematic literature review of the barriers that manufacturing firms face when implementing reshoring strategies from Asian markets. This chapter introduces the study. Section 1.1 outlines the development of offshore manufacturing in Asia, the changing risk environment, and the emergence of reshoring. Section 1.2 defines the research problem and presents the research questions. Section 1.3 states the objectives of the study.</w:t>
      </w:r>
    </w:p>
    <w:p>
      <w:pPr>
        <w:pStyle w:val="Heading2"/>
      </w:pPr>
      <w:r>
        <w:t>1.1 Background of the Study</w:t>
      </w:r>
    </w:p>
    <w:p>
      <w:r>
        <w:t>For decades, manufacturing firms from Europe and North America transferred production activities to Asian locations in pursuit of lower factor costs, with China in particular developing into the centre of global manufacturing networks. This location pattern, however, has never been static. Macro-level analyses of global manufacturing location show that offshoring, reshoring, and re-offshoring movements have occurred in parallel rather than in sequence, with production shifting between countries and industries throughout the period following the global financial crisis (Gao et al., 2022). Within Asia itself, rising production costs in China have pushed labour-intensive manufacturers to relocate activities towards Southeast Asian countries (Yang, 2016). Such intra-Asian relocation illustrates the pressure on established manufacturing configurations, but it is important to note that it does not constitute reshoring: production that moves from China to Vietnam remains offshore from the perspective of the Western home country.</w:t>
      </w:r>
    </w:p>
    <w:p>
      <w:r>
        <w:t>The risk environment surrounding Asian manufacturing has also changed. Geoeconomic fragmentation and trade tensions have raised concerns about supply-chain vulnerability, although dependence on Chinese inputs has proven persistent, with value chains often rerouted through third countries rather than eliminated (McCully &amp; Simola, 2024). Part of this adjustment has taken the form of substitution within Asia, as other Asian economies absorb stages of production formerly concentrated in China (Xing et al., 2024). In Europe, the COVID-19 pandemic intensified the political and academic debate on reindustrialisation and strengthened interest in returning manufacturing capacity to home markets (Somoza Medina, 2022). These developments have moved the location question from a purely cost-driven calculation towards a broader assessment of risk, resilience, and control.</w:t>
      </w:r>
    </w:p>
    <w:p>
      <w:r>
        <w:t>Against this background, reshoring has attracted growing attention from firms, policymakers, and researchers. Policy initiatives in home countries, particularly in the United States, have actively promoted the return of manufacturing (Bolter &amp; Robey, 2020). Recent survey evidence connects reshoring decisions to Industry 4.0 adoption, pandemic experiences, and made-in effects (Stentoft et al., 2025), and firm-level research indicates that the propensity to reshore varies with home-country conditions (Wan et al., 2019). Yet a decision to reshore is not the same as a completed return of production. Implementing reshoring requires the firm to rebuild or reacquire manufacturing capacity, competences, and supplier relationships in the home country, and the literature has repeatedly noted that these implementation issues have received far less attention than the reshoring decision itself (Ocicka, 2016; Pedroletti &amp; Ciabuschi, 2023). It is precisely at this implementation stage that many of the practical difficulties of reshoring arise, which makes the barriers to implementation a relevant and timely object of study.</w:t>
      </w:r>
    </w:p>
    <w:p>
      <w:pPr>
        <w:pStyle w:val="Heading2"/>
      </w:pPr>
      <w:r>
        <w:t>1.2 Research Problem and Questions</w:t>
      </w:r>
    </w:p>
    <w:p>
      <w:r>
        <w:t>The reshoring literature has concentrated primarily on drivers, that is, on the motives that lead firms to consider relocating production back to the home country. The implementation side of reshoring — the difficulties that arise when a firm prepares, transfers, rebuilds, integrates, and stabilises production at home — is comparatively underexplored, and existing findings on such barriers remain fragmented across individual studies (Ocicka, 2016; Pedroletti &amp; Ciabuschi, 2023). Moreover, the evidence is rarely organised around the specific situation of firms returning from Asian host countries, even though Asia is the dominant offshore manufacturing location and the setting in which most reshoring projects originate. There is therefore no consolidated, firm-level account of the barriers that manufacturing firms face when they attempt to implement reshoring from Asian markets.</w:t>
      </w:r>
    </w:p>
    <w:p>
      <w:r>
        <w:t>This thesis addresses that gap by systematically reviewing and synthesising the existing literature. The study is guided by the following core research question:</w:t>
      </w:r>
    </w:p>
    <w:p>
      <w:r>
        <w:rPr>
          <w:b/>
        </w:rPr>
        <w:t>RQ:</w:t>
      </w:r>
      <w:r>
        <w:t xml:space="preserve"> What central barriers do manufacturing firms face when implementing reshoring strategies from Asian markets?</w:t>
      </w:r>
    </w:p>
    <w:p>
      <w:r>
        <w:t>Two sub-questions specify the analysis:</w:t>
      </w:r>
    </w:p>
    <w:p>
      <w:r>
        <w:rPr>
          <w:b/>
        </w:rPr>
        <w:t>SQ1:</w:t>
      </w:r>
      <w:r>
        <w:t xml:space="preserve"> How can the identified reshoring barriers be categorized into a systematic firm-level framework?</w:t>
      </w:r>
    </w:p>
    <w:p>
      <w:r>
        <w:rPr>
          <w:b/>
        </w:rPr>
        <w:t>SQ2:</w:t>
      </w:r>
      <w:r>
        <w:t xml:space="preserve"> What are the managerial implications for international businesses to mitigate these corporate barriers?</w:t>
      </w:r>
    </w:p>
    <w:p>
      <w:pPr>
        <w:pStyle w:val="Heading2"/>
      </w:pPr>
      <w:r>
        <w:t>1.3 Objectives of the Study</w:t>
      </w:r>
    </w:p>
    <w:p>
      <w:r>
        <w:t>The study pursues four objectives, which correspond to the research questions. The first objective is to identify the barriers to reshoring implementation reported in the peer-reviewed literature, using a systematic literature review as the research method; the thesis does not collect primary interview, survey, or company data. The second objective is to classify the identified barriers into a systematic firm-level framework consisting of four categories: regulatory/institutional, cultural/organisational, cost/operational, and asset/capability barriers. The third objective is to interpret these barriers through two established theoretical perspectives, Transaction Cost Economics and the Resource-Based View, in order to explain why the return of production is difficult even when the decision to reshore has already been taken. The fourth objective is to derive managerial implications that indicate how international businesses can anticipate and mitigate these barriers when planning and executing reshoring projects from Asian markets.</w:t>
      </w:r>
    </w:p>
    <w:p>
      <w:r>
        <w:t>In sum, this chapter has introduced the shift from cost-driven offshoring towards a renewed interest in reshoring, and has argued that the implementation of reshoring, rather than the decision alone, deserves systematic attention. The research problem, the guiding research questions, and the objectives of the study have been defined. The following chapter reviews the relevant literature: it defines reshoring and distinguishes it from related relocation forms, presents the theoretical foundations of the study, and examines the current state of knowledge on reshoring barriers.</w:t>
      </w:r>
    </w:p>
    <w:p>
      <w:pPr>
        <w:pStyle w:val="Heading1"/>
      </w:pPr>
      <w:r>
        <w:t>2 Literature Review</w:t>
      </w:r>
    </w:p>
    <w:p>
      <w:r>
        <w:t>This chapter establishes the conceptual and theoretical foundations of the study. Section 2.1 defines reshoring and distinguishes it from related forms of manufacturing relocation. Section 2.2 introduces Transaction Cost Economics and the Resource-Based View as the analytical lenses of the thesis. Section 2.3 separates the drivers of reshoring from the implementation barriers that form the object of this study. Section 2.4 reviews the existing knowledge on reshoring barriers and identifies the research gap that the thesis addresses.</w:t>
      </w:r>
    </w:p>
    <w:p>
      <w:pPr>
        <w:pStyle w:val="Heading2"/>
      </w:pPr>
      <w:r>
        <w:t>2.1 Defining Reshoring and Distinguishing Related Relocation Forms</w:t>
      </w:r>
    </w:p>
    <w:p>
      <w:r>
        <w:t>Research on manufacturing relocation has long been characterised by inconsistent terminology. Tsai and Urmetzer (2024), reviewing 158 studies on manufacturing relocation, note that concepts such as offshoring, reshoring, backshoring, and nearshoring have been used with conflicting meanings across industrial and regional contexts, and they consolidate the field into a single decisional framework in which reshoring serves as an umbrella term covering both relocation to the home country and relocation to a proximate country. This thesis adopts a deliberately narrower definition: reshoring is understood as the return of previously offshored manufacturing activities from an Asian host country to the firm's home country. Ocicka (2016) similarly characterises reshoring as the reversal of a prior offshoring decision, a definition that usefully emphasises two constitutive elements — there must have been an initial offshoring movement, and the activity must return home rather than merely move elsewhere.</w:t>
      </w:r>
    </w:p>
    <w:p>
      <w:r>
        <w:t>The narrower definition matters because several relocation patterns that superficially resemble reshoring fall outside it. Relocation from one foreign host to another — for instance from China to a lower-cost Asian country — leaves production offshore from the home country's perspective and therefore constitutes re-offshoring or diversification rather than reshoring. Nearshoring, in which production moves to a country closer to home without returning, is likewise excluded. Macro-level evidence indicates that these movements coexist: analyses of global manufacturing location between 2007 and 2014 document offshoring, reshoring, and re-offshoring occurring in parallel across countries and industries (Gao et al., 2022). Treating all of these patterns as reshoring would blur the phenomenon this thesis investigates, namely the specific difficulties of bringing production home.</w:t>
      </w:r>
    </w:p>
    <w:p>
      <w:r>
        <w:t>Beyond definition, recent research increasingly conceptualises reshoring as a process rather than a single decision. Pedroletti and Ciabuschi (2023) organise the literature into five sequential themes — antecedents, contingencies, decision, implementation, and outcome — and propose a research agenda for each. This process view is foundational for the present study, because it makes implementation visible as a distinct stage that begins after the decision to reshore has been taken and that carries its own difficulties. The same review indicates that the implementation stage has received comparatively little scholarly attention, a point taken up in Section 2.4.</w:t>
      </w:r>
    </w:p>
    <w:p>
      <w:pPr>
        <w:pStyle w:val="Heading2"/>
      </w:pPr>
      <w:r>
        <w:t>2.2 Theoretical Foundations: Transaction Cost Economics and the Resource-Based View</w:t>
      </w:r>
    </w:p>
    <w:p>
      <w:r>
        <w:t>The reshoring literature draws on a range of theoretical perspectives rather than a single unified theory; Wiesmann et al. (2017) observe that there is currently no consensus on a "theory of reshoring" and survey the theories that prior research has employed. Individual studies adopt different lenses: Li et al. (2025) ground their empirical analysis in Dunning's eclectic paradigm, Pedroletti (2025) applies a business-network perspective from internationalisation-process theory, and D'Ambrosio and Lavoratori (2025) build on trade-theoretic work on de-globalisation and global value chains. Against this plural background, the present thesis adopts Transaction Cost Economics and the Resource-Based View as its two interpretive lenses. These are used as the thesis's own analytical framework for organising and explaining the barriers identified in the literature; where a reviewed study employs a different theory, the study's own framing is reported as such.</w:t>
      </w:r>
    </w:p>
    <w:p>
      <w:r>
        <w:t>Transaction Cost Economics directs attention to the costs of organising economic activity across firm and country boundaries. In the reshoring context, this perspective illuminates the exit side of implementation: offshore arrangements embody committed investments and contractual obligations, so unwinding them generates real costs. Empirical findings consistent with this logic include strict host-country layoff regulations and locked investments that impede a rapid exit (Li et al., 2025), plant-closure fees and fiscal obligations reported in the review literature (Di Stefano &amp; Fratocchi, 2019), and the coordination burden that arises when production is split between home and host locations during a partial return (Pedroletti, 2025). Transaction-cost reasoning also highlights hidden costs: Ocicka (2016) argues that sourcing decisions based on unit price alone systematically understate the total cost of offshore acquisition, and Boffelli et al. (2021) document how firms underestimate the operational adjustments that relocation requires.</w:t>
      </w:r>
    </w:p>
    <w:p>
      <w:r>
        <w:t>The Resource-Based View, by contrast, illuminates the arrival side of implementation. It conceives of the firm as a bundle of resources and capabilities, and it implies that reshoring succeeds only if the firm can rebuild or reacquire the productive resources — skills, machinery, routines, and supplier relationships — that the home operation requires. The reshoring literature repeatedly reports precisely such capability constraints: the erosion of domestic manufacturing competences and capacity after prolonged offshoring (Wiesmann et al., 2017), the scarcity of specialised manpower encountered by returning firms (Di Mauro et al., 2018), and the need to rebuild machinery, tooling, and workforce skills documented in case evidence (Pegoraro et al., 2022). Conceptual work reinforces this reading: D'Ambrosio and Lavoratori (2025) argue that reshoring confronts firms with new domestic fixed costs and capability requirements, while established value chains remain "sticky" because of the resources sunk into them. Taken together, the two lenses are complementary — Transaction Cost Economics explains why leaving the host country is costly, and the Resource-Based View explains why re-establishing production at home is demanding.</w:t>
      </w:r>
    </w:p>
    <w:p>
      <w:pPr>
        <w:pStyle w:val="Heading2"/>
      </w:pPr>
      <w:r>
        <w:t>2.3 Drivers of Reshoring versus Implementation Barriers</w:t>
      </w:r>
    </w:p>
    <w:p>
      <w:r>
        <w:t>A central conceptual distinction for this thesis separates the reasons why firms consider reshoring from the difficulties they face when they carry it out. The driver literature is comparatively mature. Di Mauro et al. (2018) find that while offshoring is predominantly motivated by cost reduction, backshoring typically follows a strategic reorientation toward customer-perceived value, and they characterise the return as strategic evolution rather than the correction of a managerial mistake. Firm-level survey evidence links reshoring decisions to home-country conditions (Wan et al., 2019) and to Industry 4.0 adoption, pandemic experience, and made-in effects (Stentoft et al., 2025), and survey and case research has examined the relationship between digital-technology adoption and backshoring decisions (Kamp &amp; Gibaja, 2021). Case research adds brand-related motives: Robinson and Hsieh (2016) show how a luxury clothing firm's repositioning around provenance and quality triggered the consolidation of manufacturing at home. Quality problems, coordination difficulties, and inflexibility experienced at offshore sites likewise appear as motives for return (Di Mauro et al., 2018).</w:t>
      </w:r>
    </w:p>
    <w:p>
      <w:r>
        <w:t>Drivers, however, explain only why firms want to return — not whether the return succeeds. Implementation barriers, as understood in this thesis, are the difficulties that arise when a firm prepares, transfers, rebuilds, integrates, and stabilises production at home after the reshoring decision has been taken. The distinction is analytically consequential because factors prominent in the driver literature, such as rising foreign wages or supply-chain disruptions, are not implementation barriers unless the evidence shows they obstructed the implementation process itself. The clearest empirical demonstration that the two stages are distinct comes from Boffelli et al. (2021), who analyse mistakes across four fashion-industry relocation cases and differentiate decision-making mistakes from implementation mistakes. Their central finding is that failures of relocation initiatives were directly connected to mistakes made in the implementation phase, leading to the conclusion that "doing things right" in implementation matters more than "doing the right thing" at the decision stage. The process framework of Pedroletti and Ciabuschi (2023) supports the same separation at a conceptual level, treating implementation as a stage with its own contingencies and outcomes.</w:t>
      </w:r>
    </w:p>
    <w:p>
      <w:pPr>
        <w:pStyle w:val="Heading2"/>
      </w:pPr>
      <w:r>
        <w:t>2.4 Existing Knowledge on Reshoring Barriers and the Research Gap</w:t>
      </w:r>
    </w:p>
    <w:p>
      <w:r>
        <w:t>The most systematic early treatment of reshoring barriers is the literature review by Wiesmann et al. (2017), which organises both drivers and barriers into five sets of dynamics: global competitive dynamics, home-country, host-country, supply-chain, and firm-specific factors. On the barrier side, the review reports the loss of access to production resources that existed offshore but are absent at home, shortages of skilled personnel in both host and home countries, and weaknesses in home-country supplier capacity and networks. This taxonomy is valuable but, as review-level evidence, it aggregates findings from heterogeneous primary studies; it also differs in structure from the firm-level framework developed in this thesis, and the two are cross-walked in the analysis rather than treated as equivalent.</w:t>
      </w:r>
    </w:p>
    <w:p>
      <w:r>
        <w:t>Subsequent review work has extended the barrier discussion in particular directions. Di Stefano and Fratocchi (2019) examine the relationship between backshoring and sustainability and show that environmental and social considerations can function as drivers, outcomes, or barriers, including regulatory and social constraints on exiting the host country. Reviews at the intersection of reshoring and Industry 4.0 (Espíndola et al., 2023; Bilbao-Ubillos et al., 2024) identify technology-readiness themes: digital technologies can favour reshoring by reducing the weight of labour costs and increasing the value of proximity, yet their deployment itself demands new technical skills, organisational adaptation, and investment. Gupta et al. (2023) argue in the same vein that Industry 4.0 plays a dual role, enabling reshoring while simultaneously imposing new capability requirements. Conceptually, D'Ambrosio and Lavoratori (2025) integrate several of these strands, explaining the rarity of reshoring through the stickiness of established value chains, the new fixed costs of domestic production, and firm-size differences — larger firms may prefer nearshoring or friendshoring, whereas smaller, constrained firms may reshore defensively "to survive." Complementary empirical work on high-cost home environments shows that firms manufacturing domestically confront labour-cost pressure, skills shortages, supplier-network gaps, and internal organisational frictions (Mirzaei et al., 2021), conditions that any returning firm inherits.</w:t>
      </w:r>
    </w:p>
    <w:p>
      <w:r>
        <w:t>Three limitations of this body of knowledge define the research gap. First, the evidence on barriers is fragmented: individual studies report individual obstacles, but consolidated, firm-level syntheses focused specifically on implementation remain scarce, and the implementation stage as such is under-researched relative to the reshoring decision (Ocicka, 2016; Pedroletti &amp; Ciabuschi, 2023). Second, the evidence is heterogeneous in kind — direct case observations, review-level aggregations, and conceptual arguments are frequently cited interchangeably, although they warrant different degrees of confidence. Third, the literature is rarely Asia-specific in a disaggregated way: although Asia is the dominant offshore manufacturing location, most studies report barriers at an aggregate sample level without isolating findings that concern the return from Asian host countries specifically. Direct implementation evidence from identified Asia-to-home cases exists — notably a China-to-UK case documenting skills, machinery, and ramp-up difficulties (Pegoraro et al., 2022) and a China-to-Italy case documenting supplier dependence and coordination burdens in a partial return (Pedroletti, 2025) — but such cases are few. The four-category framework applied in this thesis — regulatory/institutional, cultural/organisational, cost/operational, and asset/capability barriers — is designed to consolidate this fragmented evidence at the firm level while preserving the distinctions between evidence types and between Asia-specific and general findings.</w:t>
      </w:r>
    </w:p>
    <w:p>
      <w:r>
        <w:t>In summary, this chapter has defined reshoring as the return of previously offshored manufacturing from an Asian host country to the firm's home country, distinguished it from re-offshoring and nearshoring, and introduced Transaction Cost Economics and the Resource-Based View as complementary lenses on the exit-side and arrival-side difficulties of implementation. It has separated the mature literature on reshoring drivers from the less developed knowledge on implementation barriers and has identified a gap: existing barrier evidence is fragmented, mixed in evidentiary kind, and rarely disaggregated for Asian host countries. The following chapter describes the systematic literature review methodology through which this thesis consolidates that evidence.</w:t>
      </w:r>
    </w:p>
    <w:p>
      <w:pPr>
        <w:pStyle w:val="Heading1"/>
      </w:pPr>
      <w:r>
        <w:t>3 Research Methodology</w:t>
      </w:r>
    </w:p>
    <w:p>
      <w:r>
        <w:t>This chapter explains how the thesis was designed and carried out. Section 3.1 sets out the overall research design and justifies the choice of a systematic literature review. Section 3.2 describes how the source material was collected, screened, and quality-assessed, and how this process was documented. Section 3.3 explains how the included evidence was analysed to produce the firm-level barrier framework, and closes with the methodological limitations of the approach.</w:t>
      </w:r>
    </w:p>
    <w:p>
      <w:pPr>
        <w:pStyle w:val="Heading2"/>
      </w:pPr>
      <w:r>
        <w:t>3.1 Research Design</w:t>
      </w:r>
    </w:p>
    <w:p>
      <w:r>
        <w:t>The thesis adopts a systematic literature review (SLR) as its research method. The choice follows directly from the nature of the research question. The central question asks what barriers manufacturing firms face when implementing reshoring strategies from Asian markets, and the two sub-questions ask how these barriers can be categorised into a systematic firm-level framework and what managerial implications follow. Answering these questions does not require the generation of new primary observations but rather the consolidation and structured synthesis of evidence that is already dispersed across a fragmented body of research. A systematic review is well suited to this purpose because it aggregates existing findings on a bounded question through explicit, documented, and reproducible procedures for searching, selecting, and analysing the literature.</w:t>
      </w:r>
    </w:p>
    <w:p>
      <w:r>
        <w:t>Snyder (2019) argues that a literature review can serve as a research methodology in its own right, and distinguishes systematic, semi-systematic, and integrative review types, each suited to a different purpose. A systematic review is appropriate for a sufficiently specific question that can be addressed by identifying and appraising a defined body of relevant studies through pre-established criteria. Because the present research question is narrow and firm-level in focus, a systematic design is the most appropriate of the three, even though the underlying evidence is methodologically heterogeneous. Snyder (2019) further describes the review process as unfolding in broadly four phases — designing the review, conducting the search and selection, analysing the retrieved material, and writing up the results — and this sequence structures the remainder of the chapter. The framework is used here as a general methodological justification rather than as a complete protocol, and it is supplemented by dedicated reporting and synthesis guidance in the sections that follow.</w:t>
      </w:r>
    </w:p>
    <w:p>
      <w:r>
        <w:t>Consistent with this design, the thesis does not collect primary interview, survey, or company data; all evidence derives from previously published, peer-reviewed research. The intended contribution is therefore integrative: the review consolidates scattered findings into a single firm-level framework of reshoring implementation barriers, in line with established review-based work in the reshoring field (Tsai &amp; Urmetzer, 2024). This design allows the study to address the research questions directly while remaining transparent about the origin and strength of each piece of evidence.</w:t>
      </w:r>
    </w:p>
    <w:p>
      <w:pPr>
        <w:pStyle w:val="Heading2"/>
      </w:pPr>
      <w:r>
        <w:t>3.2 Data Collection Methods</w:t>
      </w:r>
    </w:p>
    <w:p>
      <w:r>
        <w:t>The literature search and selection were documented with reference to the PRISMA 2020 reporting guidelines and their accompanying explanation and elaboration guidance (Page et al., 2021a, 2021b). PRISMA was used as a reporting framework that structures the transparent documentation of identification, screening, and inclusion; it was not treated as a method of evidence synthesis, which is addressed separately in Section 3.3. [SEARCH STRATEGY DETAILS TO BE COMPLETED BY AUTHOR: databases searched, full keyword strings and Boolean combinations, language and publication-type filters, the date on which each database was last searched, and the number of records initially identified — these figures are required to complete the PRISMA flow diagram in Appendix A.] Following identification, duplicate records were removed, titles and abstracts were screened against the eligibility criteria, and the remaining full texts were assessed in full before a final inclusion decision was taken.</w:t>
      </w:r>
    </w:p>
    <w:p>
      <w:r>
        <w:t>Eligibility was governed by the reshoring definition adopted in this thesis. To enter the formal analytical sample, a study had to address genuine reshoring — the return of previously offshored manufacturing to the firm's home country. Studies concerned solely with China+1 configurations, China-to-Southeast-Asia relocation, re-offshoring, nearshoring without a return home, or foreign-to-foreign relocation were excluded from barrier coding as not constituting genuine reshoring, although a small number were retained as contextual sources for the Introduction and Discussion. Because implementation evidence is rarely disaggregated by host region in the published literature, Asia specificity was applied not as an absolute inclusion filter but as a recorded classification dimension: every source received an Asia-specificity rating, and only findings from sources whose data explicitly link an Asian host location to a return home are presented as Asia-specific in the Results. Recording explicit inclusion and exclusion criteria of this kind, and documenting the specific reasons for excluding full texts, is a reporting requirement emphasised in the PRISMA guidance (Page et al., 2021a).</w:t>
      </w:r>
    </w:p>
    <w:p>
      <w:r>
        <w:t>Selection followed a small set of decision rules that separate the corpus by function. The complete corpus comprises 33 sources. Of these, 21 peer-reviewed reshoring studies form the formal analytical sample from which the barrier framework is built. A further set of contextual and policy sources — covering, for example, macro-level relocation patterns and China+1 dynamics — was retained only to support the Introduction and Discussion and was deliberately excluded from barrier coding, because these sources describe the broader environment rather than firm-level implementation. Five methodology sources were retained solely to justify the research design, PRISMA reporting, and the coding and synthesis procedures, and likewise contribute nothing to the barrier evidence base.</w:t>
      </w:r>
    </w:p>
    <w:p>
      <w:r>
        <w:t>The formal sample was additionally characterised along two quality-assessment dimensions recorded for every source. The first is an evidence-level classification ranging from L1 to L5: L1 denotes direct implementation evidence from cases, interviews, or observed reshoring processes; L2 covers reshoring-related empirical, review, or conceptual evidence that is not direct implementation observation; L3 denotes contextual macro or sector evidence; L4 denotes methodological or decision-support material; and L5 lies outside the core reshoring definition. The second dimension is an Asia-specificity rating (high, medium, or low), where a source is classified as high only when its data or case explicitly links an Asian host location to a return home. These two dimensions govern how much weight each source can carry and are reported alongside the results rather than collapsed into a single quality score. The full flow of records from identification to final inclusion is presented in the PRISMA flow diagram in Appendix A. Screening and selection were conducted by a single researcher, which is disclosed here as a limitation of the selection process.</w:t>
      </w:r>
    </w:p>
    <w:p>
      <w:pPr>
        <w:pStyle w:val="Heading2"/>
      </w:pPr>
      <w:r>
        <w:t>3.3 Data Analysis Techniques</w:t>
      </w:r>
    </w:p>
    <w:p>
      <w:r>
        <w:t>The included evidence was analysed through an adapted thematic synthesis based on Thomas and Harden (2008), who set out a transparent three-stage procedure for synthesising findings across studies. In the first stage, relevant findings reported in the included studies were coded at the level of meaningful evidence segments. In the second stage, conceptually similar codes were grouped into descriptive themes that remained close to the content of the primary studies. In the third stage, the descriptive themes were interpreted to generate higher-order analytical themes that address the research questions and move beyond what any single study states in isolation. A central strength of this procedure is that it preserves an auditable link between the review's conclusions and the original text of the primary studies, so that each analytical theme can be traced back through the descriptive themes to the coded evidence.</w:t>
      </w:r>
    </w:p>
    <w:p>
      <w:r>
        <w:t>The coding itself followed a hybrid deductive–inductive logic, for which Mayring (2014) provides the methodological foundation. Mayring (2014) treats qualitative content analysis as a systematic, rule-bound procedure and describes deductive category application and inductive category development as complementary rather than mutually exclusive. Following this logic, the four organising categories of the thesis framework — regulatory/institutional, cultural/organisational, cost/operational, and asset/capability — were defined deductively from the theoretical framework and the research questions and applied as an a priori coding frame. The more specific barrier themes within each category were then developed inductively from the included studies, and category boundaries were refined where the a priori frame did not fully capture the coded material. This yielded a set of barrier themes nested within the four deductive categories.</w:t>
      </w:r>
    </w:p>
    <w:p>
      <w:r>
        <w:t>Two coding rules protected the integrity of the synthesis. First, in accordance with the corpus's own decision rule, the three evidence types — direct empirical findings from a study's own data, findings reported through a literature review, and barriers argued on conceptual grounds — were coded and reported separately and never summed into a single frequency count, because a survey result, a review finding, and a conceptual argument do not carry equivalent evidential weight. Second, drivers and implementation barriers were kept strictly distinct: only difficulties arising when firms prepare, transfer, rebuild, integrate, or stabilise production at home were coded as implementation barriers, whereas motives for considering reshoring — such as geopolitical tensions, rising Asian wages, or supply-chain disruptions — were not coded as barriers unless a study specifically showed that they obstructed the implementation process.</w:t>
      </w:r>
    </w:p>
    <w:p>
      <w:r>
        <w:t>Several methodological limitations follow from this design. As a secondary method, an SLR is bound by the coverage, quality, and completeness of the published literature and by the risk of publication bias; it synthesises existing findings rather than observing reshoring directly. The corpus's own caution reinforces this: because direct empirical, review, and conceptual evidence carry different weights, the strength of any barrier claim depends on the type of evidence behind it and cannot be inferred from how often the barrier is mentioned. Most importantly, genuinely Asia-specific direct implementation evidence rests on only a small number of cases — principally two single-case studies documenting returns from China — so Asia-specific findings are reported as illustrative rather than generalisable, a constraint that is carried forward explicitly into the results and the limitations discussion.</w:t>
      </w:r>
    </w:p>
    <w:p>
      <w:r>
        <w:t>In summary, this chapter has justified the systematic literature review as the method best matched to the research questions, described how the 33-source corpus and its 21-source formal analytical sample were assembled, screened, and quality-assessed under PRISMA reporting, and set out the hybrid deductive–inductive thematic synthesis through which the barriers were coded and organised. It has also stated the principal limitations of the approach and the rules that keep the evidence types and the driver–barrier distinction separate. The following chapter presents the results of this synthesis, reporting the barriers identified in the literature within the four categories of the firm-level framework.</w:t>
      </w:r>
    </w:p>
    <w:p>
      <w:pPr>
        <w:pStyle w:val="Heading1"/>
      </w:pPr>
      <w:r>
        <w:t>4 Results</w:t>
      </w:r>
    </w:p>
    <w:p>
      <w:r>
        <w:t>This chapter reports the reshoring implementation barriers identified in the reviewed literature. Section 4.1 describes the evidence base and presents the complete mapping of barrier themes to the four-category framework. Sections 4.2 to 4.5 then report the findings for each category in turn: regulatory/institutional, cultural/organisational, cost/operational, and asset/capability barriers. Throughout the chapter, the three evidence types — direct empirical findings, literature-review findings, and conceptual arguments — are reported separately, and findings are presented as Asia-specific only where the underlying study explicitly links an Asian host location to a return home.</w:t>
      </w:r>
    </w:p>
    <w:p>
      <w:pPr>
        <w:pStyle w:val="Heading2"/>
      </w:pPr>
      <w:r>
        <w:t>4.1 Overview of the Analytical Sample and Barrier Landscape</w:t>
      </w:r>
    </w:p>
    <w:p>
      <w:r>
        <w:t>The barrier synthesis draws on the 21-source formal analytical sample described in Chapter 3. Within that sample, fifteen sources contribute barrier evidence and are reported in this chapter; one further source (Tsai &amp; Urmetzer, 2024) belongs to the formal sample but serves terminology and framework purposes only and is not cited for any barrier finding. The synthesis organises the identified barriers into eighteen themes nested within the four categories of the firm-level framework, addressing the first sub-question of the thesis.</w:t>
      </w:r>
    </w:p>
    <w:p>
      <w:r>
        <w:t>The contributing evidence is of three distinct types. Direct empirical evidence comes from four core empirical studies (Boffelli et al., 2021; Li et al., 2025; Pegoraro et al., 2022; Pedroletti, 2025) and from two supporting empirical studies (Di Mauro et al., 2018; Mirzaei et al., 2021); a third supporting empirical study (Robinson &amp; Hsieh, 2016) contributes contextual evidence only. Literature-review evidence comes from six sources (Pedroletti &amp; Ciabuschi, 2023; Wiesmann et al., 2017; Espíndola et al., 2023; Di Stefano &amp; Fratocchi, 2019; Ocicka, 2016; Bilbao-Ubillos et al., 2024), and conceptual argument from two further sources (D'Ambrosio &amp; Lavoratori, 2025; Gupta et al., 2023). These types are reported separately in every section and are not aggregated into a single frequency, because a case observation, a review finding, and a conceptual argument do not carry equivalent evidential weight. Two of the core empirical studies (Pegoraro et al., 2022; Pedroletti, 2025) are single-case designs, and their findings are reported as individual cases rather than generalised.</w:t>
      </w:r>
    </w:p>
    <w:p>
      <w:r>
        <w:t>The Asia-specificity of the evidence warrants explicit statement at the outset. Genuinely Asia-specific direct implementation evidence rests on two single-case studies: a China-to-UK case (Pegoraro et al., 2022) and a China-to-Italy partial-reshoring case (Pedroletti, 2025). Two multi-case studies are partially attributable to an Asian host: in Boffelli et al. (2021) China features as the main offshore location across the four fashion cases, without case-level disaggregation of findings, and in Di Mauro et al. (2018) two of the four case firms returned from China, without the individual findings being attributed to those cases. The findings of Li et al. (2025) are reported here as general Nordic/Swedish evidence: although China appears among the host countries in the sample, no barrier in that study is disaggregated to an Asian host.</w:t>
      </w:r>
    </w:p>
    <w:p>
      <w:r>
        <w:t>Table 1 maps all eighteen barrier themes to their framework category, the evidence types available for each, and the Asia-specificity status of the supporting evidence. The sections that follow report each theme in turn. As Table 1 makes visible, the regulatory/institutional category is the thinnest in direct empirical terms — a factual feature of the evidence distribution that is stated again where that category is reported.</w:t>
      </w:r>
    </w:p>
    <w:p>
      <w:r>
        <w:rPr>
          <w:b/>
        </w:rPr>
        <w:t xml:space="preserve">Table 1. </w:t>
      </w:r>
      <w:r>
        <w:rPr>
          <w:i/>
        </w:rPr>
        <w:t>Reshoring implementation-barrier themes mapped to the four-category framework, showing the evidence types available for each theme (direct empirical, literature-review, and conceptual sources listed separately) and the Asia-specificity status of the supporting evidence. Evidence types are not aggregated; "Asia-specific" is affirmed only where a source explicitly links an Asian host location to a return home.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Barrier theme</w:t>
            </w:r>
          </w:p>
        </w:tc>
        <w:tc>
          <w:tcPr>
            <w:tcW w:type="dxa" w:w="1560"/>
          </w:tcPr>
          <w:p>
            <w:r>
              <w:rPr>
                <w:rFonts w:ascii="Times New Roman" w:hAnsi="Times New Roman"/>
                <w:b/>
                <w:sz w:val="18"/>
              </w:rPr>
              <w:t>Category</w:t>
            </w:r>
          </w:p>
        </w:tc>
        <w:tc>
          <w:tcPr>
            <w:tcW w:type="dxa" w:w="1560"/>
          </w:tcPr>
          <w:p>
            <w:r>
              <w:rPr>
                <w:rFonts w:ascii="Times New Roman" w:hAnsi="Times New Roman"/>
                <w:b/>
                <w:sz w:val="18"/>
              </w:rPr>
              <w:t>Direct empirical</w:t>
            </w:r>
          </w:p>
        </w:tc>
        <w:tc>
          <w:tcPr>
            <w:tcW w:type="dxa" w:w="1560"/>
          </w:tcPr>
          <w:p>
            <w:r>
              <w:rPr>
                <w:rFonts w:ascii="Times New Roman" w:hAnsi="Times New Roman"/>
                <w:b/>
                <w:sz w:val="18"/>
              </w:rPr>
              <w:t>Review</w:t>
            </w:r>
          </w:p>
        </w:tc>
        <w:tc>
          <w:tcPr>
            <w:tcW w:type="dxa" w:w="1560"/>
          </w:tcPr>
          <w:p>
            <w:r>
              <w:rPr>
                <w:rFonts w:ascii="Times New Roman" w:hAnsi="Times New Roman"/>
                <w:b/>
                <w:sz w:val="18"/>
              </w:rPr>
              <w:t>Conceptual</w:t>
            </w:r>
          </w:p>
        </w:tc>
        <w:tc>
          <w:tcPr>
            <w:tcW w:type="dxa" w:w="1560"/>
          </w:tcPr>
          <w:p>
            <w:r>
              <w:rPr>
                <w:rFonts w:ascii="Times New Roman" w:hAnsi="Times New Roman"/>
                <w:b/>
                <w:sz w:val="18"/>
              </w:rPr>
              <w:t>Asia-specific status</w:t>
            </w:r>
          </w:p>
        </w:tc>
      </w:tr>
      <w:tr>
        <w:tc>
          <w:tcPr>
            <w:tcW w:type="dxa" w:w="1560"/>
          </w:tcPr>
          <w:p>
            <w:r>
              <w:rPr>
                <w:rFonts w:ascii="Times New Roman" w:hAnsi="Times New Roman"/>
                <w:sz w:val="18"/>
              </w:rPr>
              <w:t>Domestic skilled-labour &amp; competence gap</w:t>
            </w:r>
          </w:p>
        </w:tc>
        <w:tc>
          <w:tcPr>
            <w:tcW w:type="dxa" w:w="1560"/>
          </w:tcPr>
          <w:p>
            <w:r>
              <w:rPr>
                <w:rFonts w:ascii="Times New Roman" w:hAnsi="Times New Roman"/>
                <w:sz w:val="18"/>
              </w:rPr>
              <w:t>Asset/Capability</w:t>
            </w:r>
          </w:p>
        </w:tc>
        <w:tc>
          <w:tcPr>
            <w:tcW w:type="dxa" w:w="1560"/>
          </w:tcPr>
          <w:p>
            <w:r>
              <w:rPr>
                <w:rFonts w:ascii="Times New Roman" w:hAnsi="Times New Roman"/>
                <w:sz w:val="18"/>
              </w:rPr>
              <w:t>Pegoraro et al. (2022); Li et al. (2025); Di Mauro et al. (2018); Mirzaei et al. (2021)</w:t>
            </w:r>
          </w:p>
        </w:tc>
        <w:tc>
          <w:tcPr>
            <w:tcW w:type="dxa" w:w="1560"/>
          </w:tcPr>
          <w:p>
            <w:r>
              <w:rPr>
                <w:rFonts w:ascii="Times New Roman" w:hAnsi="Times New Roman"/>
                <w:sz w:val="18"/>
              </w:rPr>
              <w:t>Wiesmann et al. (2017); Ocicka (2016); Bilbao-Ubillos et al. (2024)</w:t>
            </w:r>
          </w:p>
        </w:tc>
        <w:tc>
          <w:tcPr>
            <w:tcW w:type="dxa" w:w="1560"/>
          </w:tcPr>
          <w:p>
            <w:r>
              <w:rPr>
                <w:rFonts w:ascii="Times New Roman" w:hAnsi="Times New Roman"/>
                <w:sz w:val="18"/>
              </w:rPr>
              <w:t>D'Ambrosio &amp; Lavoratori (2025); Gupta et al. (2023)</w:t>
            </w:r>
          </w:p>
        </w:tc>
        <w:tc>
          <w:tcPr>
            <w:tcW w:type="dxa" w:w="1560"/>
          </w:tcPr>
          <w:p>
            <w:r>
              <w:rPr>
                <w:rFonts w:ascii="Times New Roman" w:hAnsi="Times New Roman"/>
                <w:sz w:val="18"/>
              </w:rPr>
              <w:t>Yes — Pegoraro et al. (single China→UK case); others general/partial</w:t>
            </w:r>
          </w:p>
        </w:tc>
      </w:tr>
      <w:tr>
        <w:tc>
          <w:tcPr>
            <w:tcW w:type="dxa" w:w="1560"/>
          </w:tcPr>
          <w:p>
            <w:r>
              <w:rPr>
                <w:rFonts w:ascii="Times New Roman" w:hAnsi="Times New Roman"/>
                <w:sz w:val="18"/>
              </w:rPr>
              <w:t>Domestic capacity, facilities &amp; machinery gap</w:t>
            </w:r>
          </w:p>
        </w:tc>
        <w:tc>
          <w:tcPr>
            <w:tcW w:type="dxa" w:w="1560"/>
          </w:tcPr>
          <w:p>
            <w:r>
              <w:rPr>
                <w:rFonts w:ascii="Times New Roman" w:hAnsi="Times New Roman"/>
                <w:sz w:val="18"/>
              </w:rPr>
              <w:t>Asset/Capability</w:t>
            </w:r>
          </w:p>
        </w:tc>
        <w:tc>
          <w:tcPr>
            <w:tcW w:type="dxa" w:w="1560"/>
          </w:tcPr>
          <w:p>
            <w:r>
              <w:rPr>
                <w:rFonts w:ascii="Times New Roman" w:hAnsi="Times New Roman"/>
                <w:sz w:val="18"/>
              </w:rPr>
              <w:t>Pegoraro et al. (2022); Li et al. (2025); Mirzaei et al. (2021)</w:t>
            </w:r>
          </w:p>
        </w:tc>
        <w:tc>
          <w:tcPr>
            <w:tcW w:type="dxa" w:w="1560"/>
          </w:tcPr>
          <w:p>
            <w:r>
              <w:rPr>
                <w:rFonts w:ascii="Times New Roman" w:hAnsi="Times New Roman"/>
                <w:sz w:val="18"/>
              </w:rPr>
              <w:t>Wiesmann et al. (2017)</w:t>
            </w:r>
          </w:p>
        </w:tc>
        <w:tc>
          <w:tcPr>
            <w:tcW w:type="dxa" w:w="1560"/>
          </w:tcPr>
          <w:p>
            <w:r>
              <w:rPr>
                <w:rFonts w:ascii="Times New Roman" w:hAnsi="Times New Roman"/>
                <w:sz w:val="18"/>
              </w:rPr>
              <w:t>D'Ambrosio &amp; Lavoratori (2025); Gupta et al. (2023)</w:t>
            </w:r>
          </w:p>
        </w:tc>
        <w:tc>
          <w:tcPr>
            <w:tcW w:type="dxa" w:w="1560"/>
          </w:tcPr>
          <w:p>
            <w:r>
              <w:rPr>
                <w:rFonts w:ascii="Times New Roman" w:hAnsi="Times New Roman"/>
                <w:sz w:val="18"/>
              </w:rPr>
              <w:t>Yes — Pegoraro et al. (single case); others general</w:t>
            </w:r>
          </w:p>
        </w:tc>
      </w:tr>
      <w:tr>
        <w:tc>
          <w:tcPr>
            <w:tcW w:type="dxa" w:w="1560"/>
          </w:tcPr>
          <w:p>
            <w:r>
              <w:rPr>
                <w:rFonts w:ascii="Times New Roman" w:hAnsi="Times New Roman"/>
                <w:sz w:val="18"/>
              </w:rPr>
              <w:t>Host-supplier dependence &amp; knowledge lock-in</w:t>
            </w:r>
          </w:p>
        </w:tc>
        <w:tc>
          <w:tcPr>
            <w:tcW w:type="dxa" w:w="1560"/>
          </w:tcPr>
          <w:p>
            <w:r>
              <w:rPr>
                <w:rFonts w:ascii="Times New Roman" w:hAnsi="Times New Roman"/>
                <w:sz w:val="18"/>
              </w:rPr>
              <w:t>Asset/Capability</w:t>
            </w:r>
          </w:p>
        </w:tc>
        <w:tc>
          <w:tcPr>
            <w:tcW w:type="dxa" w:w="1560"/>
          </w:tcPr>
          <w:p>
            <w:r>
              <w:rPr>
                <w:rFonts w:ascii="Times New Roman" w:hAnsi="Times New Roman"/>
                <w:sz w:val="18"/>
              </w:rPr>
              <w:t>Pedroletti (2025); Li et al. (2025)</w:t>
            </w:r>
          </w:p>
        </w:tc>
        <w:tc>
          <w:tcPr>
            <w:tcW w:type="dxa" w:w="1560"/>
          </w:tcPr>
          <w:p>
            <w:r>
              <w:rPr>
                <w:rFonts w:ascii="Times New Roman" w:hAnsi="Times New Roman"/>
                <w:sz w:val="18"/>
              </w:rPr>
              <w:t>Wiesmann et al. (2017); Bilbao-Ubillos et al. (2024)</w:t>
            </w:r>
          </w:p>
        </w:tc>
        <w:tc>
          <w:tcPr>
            <w:tcW w:type="dxa" w:w="1560"/>
          </w:tcPr>
          <w:p>
            <w:r>
              <w:rPr>
                <w:rFonts w:ascii="Times New Roman" w:hAnsi="Times New Roman"/>
                <w:sz w:val="18"/>
              </w:rPr>
              <w:t>Gupta et al. (2023)</w:t>
            </w:r>
          </w:p>
        </w:tc>
        <w:tc>
          <w:tcPr>
            <w:tcW w:type="dxa" w:w="1560"/>
          </w:tcPr>
          <w:p>
            <w:r>
              <w:rPr>
                <w:rFonts w:ascii="Times New Roman" w:hAnsi="Times New Roman"/>
                <w:sz w:val="18"/>
              </w:rPr>
              <w:t>Yes — Pedroletti (single China→Italy case); others general</w:t>
            </w:r>
          </w:p>
        </w:tc>
      </w:tr>
      <w:tr>
        <w:tc>
          <w:tcPr>
            <w:tcW w:type="dxa" w:w="1560"/>
          </w:tcPr>
          <w:p>
            <w:r>
              <w:rPr>
                <w:rFonts w:ascii="Times New Roman" w:hAnsi="Times New Roman"/>
                <w:sz w:val="18"/>
              </w:rPr>
              <w:t>GVC stickiness / offshore sunk-cost inertia</w:t>
            </w:r>
          </w:p>
        </w:tc>
        <w:tc>
          <w:tcPr>
            <w:tcW w:type="dxa" w:w="1560"/>
          </w:tcPr>
          <w:p>
            <w:r>
              <w:rPr>
                <w:rFonts w:ascii="Times New Roman" w:hAnsi="Times New Roman"/>
                <w:sz w:val="18"/>
              </w:rPr>
              <w:t>Asset/Capability</w:t>
            </w:r>
          </w:p>
        </w:tc>
        <w:tc>
          <w:tcPr>
            <w:tcW w:type="dxa" w:w="1560"/>
          </w:tcPr>
          <w:p>
            <w:r>
              <w:rPr>
                <w:rFonts w:ascii="Times New Roman" w:hAnsi="Times New Roman"/>
                <w:sz w:val="18"/>
              </w:rPr>
              <w:t>—</w:t>
            </w:r>
          </w:p>
        </w:tc>
        <w:tc>
          <w:tcPr>
            <w:tcW w:type="dxa" w:w="1560"/>
          </w:tcPr>
          <w:p>
            <w:r>
              <w:rPr>
                <w:rFonts w:ascii="Times New Roman" w:hAnsi="Times New Roman"/>
                <w:sz w:val="18"/>
              </w:rPr>
              <w:t>Bilbao-Ubillos et al. (2024)</w:t>
            </w:r>
          </w:p>
        </w:tc>
        <w:tc>
          <w:tcPr>
            <w:tcW w:type="dxa" w:w="1560"/>
          </w:tcPr>
          <w:p>
            <w:r>
              <w:rPr>
                <w:rFonts w:ascii="Times New Roman" w:hAnsi="Times New Roman"/>
                <w:sz w:val="18"/>
              </w:rPr>
              <w:t>D'Ambrosio &amp; Lavoratori (2025)</w:t>
            </w:r>
          </w:p>
        </w:tc>
        <w:tc>
          <w:tcPr>
            <w:tcW w:type="dxa" w:w="1560"/>
          </w:tcPr>
          <w:p>
            <w:r>
              <w:rPr>
                <w:rFonts w:ascii="Times New Roman" w:hAnsi="Times New Roman"/>
                <w:sz w:val="18"/>
              </w:rPr>
              <w:t>No</w:t>
            </w:r>
          </w:p>
        </w:tc>
      </w:tr>
      <w:tr>
        <w:tc>
          <w:tcPr>
            <w:tcW w:type="dxa" w:w="1560"/>
          </w:tcPr>
          <w:p>
            <w:r>
              <w:rPr>
                <w:rFonts w:ascii="Times New Roman" w:hAnsi="Times New Roman"/>
                <w:sz w:val="18"/>
              </w:rPr>
              <w:t>Regional ecosystem readiness</w:t>
            </w:r>
          </w:p>
        </w:tc>
        <w:tc>
          <w:tcPr>
            <w:tcW w:type="dxa" w:w="1560"/>
          </w:tcPr>
          <w:p>
            <w:r>
              <w:rPr>
                <w:rFonts w:ascii="Times New Roman" w:hAnsi="Times New Roman"/>
                <w:sz w:val="18"/>
              </w:rPr>
              <w:t>Asset/Capability</w:t>
            </w:r>
          </w:p>
        </w:tc>
        <w:tc>
          <w:tcPr>
            <w:tcW w:type="dxa" w:w="1560"/>
          </w:tcPr>
          <w:p>
            <w:r>
              <w:rPr>
                <w:rFonts w:ascii="Times New Roman" w:hAnsi="Times New Roman"/>
                <w:sz w:val="18"/>
              </w:rPr>
              <w:t>Pegoraro et al. (2022)</w:t>
            </w:r>
          </w:p>
        </w:tc>
        <w:tc>
          <w:tcPr>
            <w:tcW w:type="dxa" w:w="1560"/>
          </w:tcPr>
          <w:p>
            <w:r>
              <w:rPr>
                <w:rFonts w:ascii="Times New Roman" w:hAnsi="Times New Roman"/>
                <w:sz w:val="18"/>
              </w:rPr>
              <w:t>Bilbao-Ubillos et al. (2024)</w:t>
            </w:r>
          </w:p>
        </w:tc>
        <w:tc>
          <w:tcPr>
            <w:tcW w:type="dxa" w:w="1560"/>
          </w:tcPr>
          <w:p>
            <w:r>
              <w:rPr>
                <w:rFonts w:ascii="Times New Roman" w:hAnsi="Times New Roman"/>
                <w:sz w:val="18"/>
              </w:rPr>
              <w:t>—</w:t>
            </w:r>
          </w:p>
        </w:tc>
        <w:tc>
          <w:tcPr>
            <w:tcW w:type="dxa" w:w="1560"/>
          </w:tcPr>
          <w:p>
            <w:r>
              <w:rPr>
                <w:rFonts w:ascii="Times New Roman" w:hAnsi="Times New Roman"/>
                <w:sz w:val="18"/>
              </w:rPr>
              <w:t>Yes — Pegoraro et al. (single case)</w:t>
            </w:r>
          </w:p>
        </w:tc>
      </w:tr>
      <w:tr>
        <w:tc>
          <w:tcPr>
            <w:tcW w:type="dxa" w:w="1560"/>
          </w:tcPr>
          <w:p>
            <w:r>
              <w:rPr>
                <w:rFonts w:ascii="Times New Roman" w:hAnsi="Times New Roman"/>
                <w:sz w:val="18"/>
              </w:rPr>
              <w:t>Hollowed-out supply base / supplier-network rebuilding</w:t>
            </w:r>
          </w:p>
        </w:tc>
        <w:tc>
          <w:tcPr>
            <w:tcW w:type="dxa" w:w="1560"/>
          </w:tcPr>
          <w:p>
            <w:r>
              <w:rPr>
                <w:rFonts w:ascii="Times New Roman" w:hAnsi="Times New Roman"/>
                <w:sz w:val="18"/>
              </w:rPr>
              <w:t>Cost/Operational</w:t>
            </w:r>
          </w:p>
        </w:tc>
        <w:tc>
          <w:tcPr>
            <w:tcW w:type="dxa" w:w="1560"/>
          </w:tcPr>
          <w:p>
            <w:r>
              <w:rPr>
                <w:rFonts w:ascii="Times New Roman" w:hAnsi="Times New Roman"/>
                <w:sz w:val="18"/>
              </w:rPr>
              <w:t>Mirzaei et al. (2021); Di Mauro et al. (2018)</w:t>
            </w:r>
          </w:p>
        </w:tc>
        <w:tc>
          <w:tcPr>
            <w:tcW w:type="dxa" w:w="1560"/>
          </w:tcPr>
          <w:p>
            <w:r>
              <w:rPr>
                <w:rFonts w:ascii="Times New Roman" w:hAnsi="Times New Roman"/>
                <w:sz w:val="18"/>
              </w:rPr>
              <w:t>Wiesmann et al. (2017); Ocicka (2016)</w:t>
            </w:r>
          </w:p>
        </w:tc>
        <w:tc>
          <w:tcPr>
            <w:tcW w:type="dxa" w:w="1560"/>
          </w:tcPr>
          <w:p>
            <w:r>
              <w:rPr>
                <w:rFonts w:ascii="Times New Roman" w:hAnsi="Times New Roman"/>
                <w:sz w:val="18"/>
              </w:rPr>
              <w:t>Gupta et al. (2023)</w:t>
            </w:r>
          </w:p>
        </w:tc>
        <w:tc>
          <w:tcPr>
            <w:tcW w:type="dxa" w:w="1560"/>
          </w:tcPr>
          <w:p>
            <w:r>
              <w:rPr>
                <w:rFonts w:ascii="Times New Roman" w:hAnsi="Times New Roman"/>
                <w:sz w:val="18"/>
              </w:rPr>
              <w:t>Partial — Di Mauro et al. (2 of 4 cases from China, unattributed)</w:t>
            </w:r>
          </w:p>
        </w:tc>
      </w:tr>
      <w:tr>
        <w:tc>
          <w:tcPr>
            <w:tcW w:type="dxa" w:w="1560"/>
          </w:tcPr>
          <w:p>
            <w:r>
              <w:rPr>
                <w:rFonts w:ascii="Times New Roman" w:hAnsi="Times New Roman"/>
                <w:sz w:val="18"/>
              </w:rPr>
              <w:t>New fixed costs &amp; switching/reconfiguration costs</w:t>
            </w:r>
          </w:p>
        </w:tc>
        <w:tc>
          <w:tcPr>
            <w:tcW w:type="dxa" w:w="1560"/>
          </w:tcPr>
          <w:p>
            <w:r>
              <w:rPr>
                <w:rFonts w:ascii="Times New Roman" w:hAnsi="Times New Roman"/>
                <w:sz w:val="18"/>
              </w:rPr>
              <w:t>Cost/Operational</w:t>
            </w:r>
          </w:p>
        </w:tc>
        <w:tc>
          <w:tcPr>
            <w:tcW w:type="dxa" w:w="1560"/>
          </w:tcPr>
          <w:p>
            <w:r>
              <w:rPr>
                <w:rFonts w:ascii="Times New Roman" w:hAnsi="Times New Roman"/>
                <w:sz w:val="18"/>
              </w:rPr>
              <w:t>Li et al. (2025)</w:t>
            </w:r>
          </w:p>
        </w:tc>
        <w:tc>
          <w:tcPr>
            <w:tcW w:type="dxa" w:w="1560"/>
          </w:tcPr>
          <w:p>
            <w:r>
              <w:rPr>
                <w:rFonts w:ascii="Times New Roman" w:hAnsi="Times New Roman"/>
                <w:sz w:val="18"/>
              </w:rPr>
              <w:t>Espíndola et al. (2023)</w:t>
            </w:r>
          </w:p>
        </w:tc>
        <w:tc>
          <w:tcPr>
            <w:tcW w:type="dxa" w:w="1560"/>
          </w:tcPr>
          <w:p>
            <w:r>
              <w:rPr>
                <w:rFonts w:ascii="Times New Roman" w:hAnsi="Times New Roman"/>
                <w:sz w:val="18"/>
              </w:rPr>
              <w:t>D'Ambrosio &amp; Lavoratori (2025); Gupta et al. (2023)</w:t>
            </w:r>
          </w:p>
        </w:tc>
        <w:tc>
          <w:tcPr>
            <w:tcW w:type="dxa" w:w="1560"/>
          </w:tcPr>
          <w:p>
            <w:r>
              <w:rPr>
                <w:rFonts w:ascii="Times New Roman" w:hAnsi="Times New Roman"/>
                <w:sz w:val="18"/>
              </w:rPr>
              <w:t>No</w:t>
            </w:r>
          </w:p>
        </w:tc>
      </w:tr>
      <w:tr>
        <w:tc>
          <w:tcPr>
            <w:tcW w:type="dxa" w:w="1560"/>
          </w:tcPr>
          <w:p>
            <w:r>
              <w:rPr>
                <w:rFonts w:ascii="Times New Roman" w:hAnsi="Times New Roman"/>
                <w:sz w:val="18"/>
              </w:rPr>
              <w:t>High-cost home environment</w:t>
            </w:r>
          </w:p>
        </w:tc>
        <w:tc>
          <w:tcPr>
            <w:tcW w:type="dxa" w:w="1560"/>
          </w:tcPr>
          <w:p>
            <w:r>
              <w:rPr>
                <w:rFonts w:ascii="Times New Roman" w:hAnsi="Times New Roman"/>
                <w:sz w:val="18"/>
              </w:rPr>
              <w:t>Cost/Operational</w:t>
            </w:r>
          </w:p>
        </w:tc>
        <w:tc>
          <w:tcPr>
            <w:tcW w:type="dxa" w:w="1560"/>
          </w:tcPr>
          <w:p>
            <w:r>
              <w:rPr>
                <w:rFonts w:ascii="Times New Roman" w:hAnsi="Times New Roman"/>
                <w:sz w:val="18"/>
              </w:rPr>
              <w:t>Mirzaei et al. (2021); Li et al. (2025)</w:t>
            </w:r>
          </w:p>
        </w:tc>
        <w:tc>
          <w:tcPr>
            <w:tcW w:type="dxa" w:w="1560"/>
          </w:tcPr>
          <w:p>
            <w:r>
              <w:rPr>
                <w:rFonts w:ascii="Times New Roman" w:hAnsi="Times New Roman"/>
                <w:sz w:val="18"/>
              </w:rPr>
              <w:t>—</w:t>
            </w:r>
          </w:p>
        </w:tc>
        <w:tc>
          <w:tcPr>
            <w:tcW w:type="dxa" w:w="1560"/>
          </w:tcPr>
          <w:p>
            <w:r>
              <w:rPr>
                <w:rFonts w:ascii="Times New Roman" w:hAnsi="Times New Roman"/>
                <w:sz w:val="18"/>
              </w:rPr>
              <w:t>D'Ambrosio &amp; Lavoratori (2025)</w:t>
            </w:r>
          </w:p>
        </w:tc>
        <w:tc>
          <w:tcPr>
            <w:tcW w:type="dxa" w:w="1560"/>
          </w:tcPr>
          <w:p>
            <w:r>
              <w:rPr>
                <w:rFonts w:ascii="Times New Roman" w:hAnsi="Times New Roman"/>
                <w:sz w:val="18"/>
              </w:rPr>
              <w:t>No</w:t>
            </w:r>
          </w:p>
        </w:tc>
      </w:tr>
      <w:tr>
        <w:tc>
          <w:tcPr>
            <w:tcW w:type="dxa" w:w="1560"/>
          </w:tcPr>
          <w:p>
            <w:r>
              <w:rPr>
                <w:rFonts w:ascii="Times New Roman" w:hAnsi="Times New Roman"/>
                <w:sz w:val="18"/>
              </w:rPr>
              <w:t>Hybrid-operation coordination complexity (partial reshoring)</w:t>
            </w:r>
          </w:p>
        </w:tc>
        <w:tc>
          <w:tcPr>
            <w:tcW w:type="dxa" w:w="1560"/>
          </w:tcPr>
          <w:p>
            <w:r>
              <w:rPr>
                <w:rFonts w:ascii="Times New Roman" w:hAnsi="Times New Roman"/>
                <w:sz w:val="18"/>
              </w:rPr>
              <w:t>Cost/Operational</w:t>
            </w:r>
          </w:p>
        </w:tc>
        <w:tc>
          <w:tcPr>
            <w:tcW w:type="dxa" w:w="1560"/>
          </w:tcPr>
          <w:p>
            <w:r>
              <w:rPr>
                <w:rFonts w:ascii="Times New Roman" w:hAnsi="Times New Roman"/>
                <w:sz w:val="18"/>
              </w:rPr>
              <w:t>Pedroletti (2025)</w:t>
            </w:r>
          </w:p>
        </w:tc>
        <w:tc>
          <w:tcPr>
            <w:tcW w:type="dxa" w:w="1560"/>
          </w:tcPr>
          <w:p>
            <w:r>
              <w:rPr>
                <w:rFonts w:ascii="Times New Roman" w:hAnsi="Times New Roman"/>
                <w:sz w:val="18"/>
              </w:rPr>
              <w:t>—</w:t>
            </w:r>
          </w:p>
        </w:tc>
        <w:tc>
          <w:tcPr>
            <w:tcW w:type="dxa" w:w="1560"/>
          </w:tcPr>
          <w:p>
            <w:r>
              <w:rPr>
                <w:rFonts w:ascii="Times New Roman" w:hAnsi="Times New Roman"/>
                <w:sz w:val="18"/>
              </w:rPr>
              <w:t>—</w:t>
            </w:r>
          </w:p>
        </w:tc>
        <w:tc>
          <w:tcPr>
            <w:tcW w:type="dxa" w:w="1560"/>
          </w:tcPr>
          <w:p>
            <w:r>
              <w:rPr>
                <w:rFonts w:ascii="Times New Roman" w:hAnsi="Times New Roman"/>
                <w:sz w:val="18"/>
              </w:rPr>
              <w:t>Yes — Pedroletti (single case)</w:t>
            </w:r>
          </w:p>
        </w:tc>
      </w:tr>
      <w:tr>
        <w:tc>
          <w:tcPr>
            <w:tcW w:type="dxa" w:w="1560"/>
          </w:tcPr>
          <w:p>
            <w:r>
              <w:rPr>
                <w:rFonts w:ascii="Times New Roman" w:hAnsi="Times New Roman"/>
                <w:sz w:val="18"/>
              </w:rPr>
              <w:t>Underestimated operational adjustments</w:t>
            </w:r>
          </w:p>
        </w:tc>
        <w:tc>
          <w:tcPr>
            <w:tcW w:type="dxa" w:w="1560"/>
          </w:tcPr>
          <w:p>
            <w:r>
              <w:rPr>
                <w:rFonts w:ascii="Times New Roman" w:hAnsi="Times New Roman"/>
                <w:sz w:val="18"/>
              </w:rPr>
              <w:t>Cost/Operational</w:t>
            </w:r>
          </w:p>
        </w:tc>
        <w:tc>
          <w:tcPr>
            <w:tcW w:type="dxa" w:w="1560"/>
          </w:tcPr>
          <w:p>
            <w:r>
              <w:rPr>
                <w:rFonts w:ascii="Times New Roman" w:hAnsi="Times New Roman"/>
                <w:sz w:val="18"/>
              </w:rPr>
              <w:t>Boffelli et al. (2021)</w:t>
            </w:r>
          </w:p>
        </w:tc>
        <w:tc>
          <w:tcPr>
            <w:tcW w:type="dxa" w:w="1560"/>
          </w:tcPr>
          <w:p>
            <w:r>
              <w:rPr>
                <w:rFonts w:ascii="Times New Roman" w:hAnsi="Times New Roman"/>
                <w:sz w:val="18"/>
              </w:rPr>
              <w:t>—</w:t>
            </w:r>
          </w:p>
        </w:tc>
        <w:tc>
          <w:tcPr>
            <w:tcW w:type="dxa" w:w="1560"/>
          </w:tcPr>
          <w:p>
            <w:r>
              <w:rPr>
                <w:rFonts w:ascii="Times New Roman" w:hAnsi="Times New Roman"/>
                <w:sz w:val="18"/>
              </w:rPr>
              <w:t>—</w:t>
            </w:r>
          </w:p>
        </w:tc>
        <w:tc>
          <w:tcPr>
            <w:tcW w:type="dxa" w:w="1560"/>
          </w:tcPr>
          <w:p>
            <w:r>
              <w:rPr>
                <w:rFonts w:ascii="Times New Roman" w:hAnsi="Times New Roman"/>
                <w:sz w:val="18"/>
              </w:rPr>
              <w:t>Partial — China main offshore location, no case split</w:t>
            </w:r>
          </w:p>
        </w:tc>
      </w:tr>
      <w:tr>
        <w:tc>
          <w:tcPr>
            <w:tcW w:type="dxa" w:w="1560"/>
          </w:tcPr>
          <w:p>
            <w:r>
              <w:rPr>
                <w:rFonts w:ascii="Times New Roman" w:hAnsi="Times New Roman"/>
                <w:sz w:val="18"/>
              </w:rPr>
              <w:t>Organisational readiness, behavioural biases, learning-by-trial</w:t>
            </w:r>
          </w:p>
        </w:tc>
        <w:tc>
          <w:tcPr>
            <w:tcW w:type="dxa" w:w="1560"/>
          </w:tcPr>
          <w:p>
            <w:r>
              <w:rPr>
                <w:rFonts w:ascii="Times New Roman" w:hAnsi="Times New Roman"/>
                <w:sz w:val="18"/>
              </w:rPr>
              <w:t>Cultural/Organisational</w:t>
            </w:r>
          </w:p>
        </w:tc>
        <w:tc>
          <w:tcPr>
            <w:tcW w:type="dxa" w:w="1560"/>
          </w:tcPr>
          <w:p>
            <w:r>
              <w:rPr>
                <w:rFonts w:ascii="Times New Roman" w:hAnsi="Times New Roman"/>
                <w:sz w:val="18"/>
              </w:rPr>
              <w:t>Boffelli et al. (2021)</w:t>
            </w:r>
          </w:p>
        </w:tc>
        <w:tc>
          <w:tcPr>
            <w:tcW w:type="dxa" w:w="1560"/>
          </w:tcPr>
          <w:p>
            <w:r>
              <w:rPr>
                <w:rFonts w:ascii="Times New Roman" w:hAnsi="Times New Roman"/>
                <w:sz w:val="18"/>
              </w:rPr>
              <w:t>Wiesmann et al. (2017)</w:t>
            </w:r>
          </w:p>
        </w:tc>
        <w:tc>
          <w:tcPr>
            <w:tcW w:type="dxa" w:w="1560"/>
          </w:tcPr>
          <w:p>
            <w:r>
              <w:rPr>
                <w:rFonts w:ascii="Times New Roman" w:hAnsi="Times New Roman"/>
                <w:sz w:val="18"/>
              </w:rPr>
              <w:t>D'Ambrosio &amp; Lavoratori (2025)</w:t>
            </w:r>
          </w:p>
        </w:tc>
        <w:tc>
          <w:tcPr>
            <w:tcW w:type="dxa" w:w="1560"/>
          </w:tcPr>
          <w:p>
            <w:r>
              <w:rPr>
                <w:rFonts w:ascii="Times New Roman" w:hAnsi="Times New Roman"/>
                <w:sz w:val="18"/>
              </w:rPr>
              <w:t>Partial — via Boffelli et al.</w:t>
            </w:r>
          </w:p>
        </w:tc>
      </w:tr>
      <w:tr>
        <w:tc>
          <w:tcPr>
            <w:tcW w:type="dxa" w:w="1560"/>
          </w:tcPr>
          <w:p>
            <w:r>
              <w:rPr>
                <w:rFonts w:ascii="Times New Roman" w:hAnsi="Times New Roman"/>
                <w:sz w:val="18"/>
              </w:rPr>
              <w:t>Intra-organisational silos &amp; weak employee involvement</w:t>
            </w:r>
          </w:p>
        </w:tc>
        <w:tc>
          <w:tcPr>
            <w:tcW w:type="dxa" w:w="1560"/>
          </w:tcPr>
          <w:p>
            <w:r>
              <w:rPr>
                <w:rFonts w:ascii="Times New Roman" w:hAnsi="Times New Roman"/>
                <w:sz w:val="18"/>
              </w:rPr>
              <w:t>Cultural/Organisational</w:t>
            </w:r>
          </w:p>
        </w:tc>
        <w:tc>
          <w:tcPr>
            <w:tcW w:type="dxa" w:w="1560"/>
          </w:tcPr>
          <w:p>
            <w:r>
              <w:rPr>
                <w:rFonts w:ascii="Times New Roman" w:hAnsi="Times New Roman"/>
                <w:sz w:val="18"/>
              </w:rPr>
              <w:t>Mirzaei et al. (2021)</w:t>
            </w:r>
          </w:p>
        </w:tc>
        <w:tc>
          <w:tcPr>
            <w:tcW w:type="dxa" w:w="1560"/>
          </w:tcPr>
          <w:p>
            <w:r>
              <w:rPr>
                <w:rFonts w:ascii="Times New Roman" w:hAnsi="Times New Roman"/>
                <w:sz w:val="18"/>
              </w:rPr>
              <w:t>—</w:t>
            </w:r>
          </w:p>
        </w:tc>
        <w:tc>
          <w:tcPr>
            <w:tcW w:type="dxa" w:w="1560"/>
          </w:tcPr>
          <w:p>
            <w:r>
              <w:rPr>
                <w:rFonts w:ascii="Times New Roman" w:hAnsi="Times New Roman"/>
                <w:sz w:val="18"/>
              </w:rPr>
              <w:t>—</w:t>
            </w:r>
          </w:p>
        </w:tc>
        <w:tc>
          <w:tcPr>
            <w:tcW w:type="dxa" w:w="1560"/>
          </w:tcPr>
          <w:p>
            <w:r>
              <w:rPr>
                <w:rFonts w:ascii="Times New Roman" w:hAnsi="Times New Roman"/>
                <w:sz w:val="18"/>
              </w:rPr>
              <w:t>No</w:t>
            </w:r>
          </w:p>
        </w:tc>
      </w:tr>
      <w:tr>
        <w:tc>
          <w:tcPr>
            <w:tcW w:type="dxa" w:w="1560"/>
          </w:tcPr>
          <w:p>
            <w:r>
              <w:rPr>
                <w:rFonts w:ascii="Times New Roman" w:hAnsi="Times New Roman"/>
                <w:sz w:val="18"/>
              </w:rPr>
              <w:t>Adverse host-supplier relational response</w:t>
            </w:r>
          </w:p>
        </w:tc>
        <w:tc>
          <w:tcPr>
            <w:tcW w:type="dxa" w:w="1560"/>
          </w:tcPr>
          <w:p>
            <w:r>
              <w:rPr>
                <w:rFonts w:ascii="Times New Roman" w:hAnsi="Times New Roman"/>
                <w:sz w:val="18"/>
              </w:rPr>
              <w:t>Cultural/Organisational</w:t>
            </w:r>
          </w:p>
        </w:tc>
        <w:tc>
          <w:tcPr>
            <w:tcW w:type="dxa" w:w="1560"/>
          </w:tcPr>
          <w:p>
            <w:r>
              <w:rPr>
                <w:rFonts w:ascii="Times New Roman" w:hAnsi="Times New Roman"/>
                <w:sz w:val="18"/>
              </w:rPr>
              <w:t>Pedroletti (2025)</w:t>
            </w:r>
          </w:p>
        </w:tc>
        <w:tc>
          <w:tcPr>
            <w:tcW w:type="dxa" w:w="1560"/>
          </w:tcPr>
          <w:p>
            <w:r>
              <w:rPr>
                <w:rFonts w:ascii="Times New Roman" w:hAnsi="Times New Roman"/>
                <w:sz w:val="18"/>
              </w:rPr>
              <w:t>—</w:t>
            </w:r>
          </w:p>
        </w:tc>
        <w:tc>
          <w:tcPr>
            <w:tcW w:type="dxa" w:w="1560"/>
          </w:tcPr>
          <w:p>
            <w:r>
              <w:rPr>
                <w:rFonts w:ascii="Times New Roman" w:hAnsi="Times New Roman"/>
                <w:sz w:val="18"/>
              </w:rPr>
              <w:t>—</w:t>
            </w:r>
          </w:p>
        </w:tc>
        <w:tc>
          <w:tcPr>
            <w:tcW w:type="dxa" w:w="1560"/>
          </w:tcPr>
          <w:p>
            <w:r>
              <w:rPr>
                <w:rFonts w:ascii="Times New Roman" w:hAnsi="Times New Roman"/>
                <w:sz w:val="18"/>
              </w:rPr>
              <w:t>Yes — Pedroletti (single case)</w:t>
            </w:r>
          </w:p>
        </w:tc>
      </w:tr>
      <w:tr>
        <w:tc>
          <w:tcPr>
            <w:tcW w:type="dxa" w:w="1560"/>
          </w:tcPr>
          <w:p>
            <w:r>
              <w:rPr>
                <w:rFonts w:ascii="Times New Roman" w:hAnsi="Times New Roman"/>
                <w:sz w:val="18"/>
              </w:rPr>
              <w:t>Governance mode of the return (gap)</w:t>
            </w:r>
          </w:p>
        </w:tc>
        <w:tc>
          <w:tcPr>
            <w:tcW w:type="dxa" w:w="1560"/>
          </w:tcPr>
          <w:p>
            <w:r>
              <w:rPr>
                <w:rFonts w:ascii="Times New Roman" w:hAnsi="Times New Roman"/>
                <w:sz w:val="18"/>
              </w:rPr>
              <w:t>Cultural/Organisational</w:t>
            </w:r>
          </w:p>
        </w:tc>
        <w:tc>
          <w:tcPr>
            <w:tcW w:type="dxa" w:w="1560"/>
          </w:tcPr>
          <w:p>
            <w:r>
              <w:rPr>
                <w:rFonts w:ascii="Times New Roman" w:hAnsi="Times New Roman"/>
                <w:sz w:val="18"/>
              </w:rPr>
              <w:t>—</w:t>
            </w:r>
          </w:p>
        </w:tc>
        <w:tc>
          <w:tcPr>
            <w:tcW w:type="dxa" w:w="1560"/>
          </w:tcPr>
          <w:p>
            <w:r>
              <w:rPr>
                <w:rFonts w:ascii="Times New Roman" w:hAnsi="Times New Roman"/>
                <w:sz w:val="18"/>
              </w:rPr>
              <w:t>Pedroletti &amp; Ciabuschi (2023)</w:t>
            </w:r>
          </w:p>
        </w:tc>
        <w:tc>
          <w:tcPr>
            <w:tcW w:type="dxa" w:w="1560"/>
          </w:tcPr>
          <w:p>
            <w:r>
              <w:rPr>
                <w:rFonts w:ascii="Times New Roman" w:hAnsi="Times New Roman"/>
                <w:sz w:val="18"/>
              </w:rPr>
              <w:t>—</w:t>
            </w:r>
          </w:p>
        </w:tc>
        <w:tc>
          <w:tcPr>
            <w:tcW w:type="dxa" w:w="1560"/>
          </w:tcPr>
          <w:p>
            <w:r>
              <w:rPr>
                <w:rFonts w:ascii="Times New Roman" w:hAnsi="Times New Roman"/>
                <w:sz w:val="18"/>
              </w:rPr>
              <w:t>No — reported as under-researched dimension</w:t>
            </w:r>
          </w:p>
        </w:tc>
      </w:tr>
      <w:tr>
        <w:tc>
          <w:tcPr>
            <w:tcW w:type="dxa" w:w="1560"/>
          </w:tcPr>
          <w:p>
            <w:r>
              <w:rPr>
                <w:rFonts w:ascii="Times New Roman" w:hAnsi="Times New Roman"/>
                <w:sz w:val="18"/>
              </w:rPr>
              <w:t>Digital/organisational adaptation burden</w:t>
            </w:r>
          </w:p>
        </w:tc>
        <w:tc>
          <w:tcPr>
            <w:tcW w:type="dxa" w:w="1560"/>
          </w:tcPr>
          <w:p>
            <w:r>
              <w:rPr>
                <w:rFonts w:ascii="Times New Roman" w:hAnsi="Times New Roman"/>
                <w:sz w:val="18"/>
              </w:rPr>
              <w:t>Cultural/Organisational</w:t>
            </w:r>
          </w:p>
        </w:tc>
        <w:tc>
          <w:tcPr>
            <w:tcW w:type="dxa" w:w="1560"/>
          </w:tcPr>
          <w:p>
            <w:r>
              <w:rPr>
                <w:rFonts w:ascii="Times New Roman" w:hAnsi="Times New Roman"/>
                <w:sz w:val="18"/>
              </w:rPr>
              <w:t>—</w:t>
            </w:r>
          </w:p>
        </w:tc>
        <w:tc>
          <w:tcPr>
            <w:tcW w:type="dxa" w:w="1560"/>
          </w:tcPr>
          <w:p>
            <w:r>
              <w:rPr>
                <w:rFonts w:ascii="Times New Roman" w:hAnsi="Times New Roman"/>
                <w:sz w:val="18"/>
              </w:rPr>
              <w:t>Bilbao-Ubillos et al. (2024); Espíndola et al. (2023)</w:t>
            </w:r>
          </w:p>
        </w:tc>
        <w:tc>
          <w:tcPr>
            <w:tcW w:type="dxa" w:w="1560"/>
          </w:tcPr>
          <w:p>
            <w:r>
              <w:rPr>
                <w:rFonts w:ascii="Times New Roman" w:hAnsi="Times New Roman"/>
                <w:sz w:val="18"/>
              </w:rPr>
              <w:t>Gupta et al. (2023); D'Ambrosio &amp; Lavoratori (2025)</w:t>
            </w:r>
          </w:p>
        </w:tc>
        <w:tc>
          <w:tcPr>
            <w:tcW w:type="dxa" w:w="1560"/>
          </w:tcPr>
          <w:p>
            <w:r>
              <w:rPr>
                <w:rFonts w:ascii="Times New Roman" w:hAnsi="Times New Roman"/>
                <w:sz w:val="18"/>
              </w:rPr>
              <w:t>No</w:t>
            </w:r>
          </w:p>
        </w:tc>
      </w:tr>
      <w:tr>
        <w:tc>
          <w:tcPr>
            <w:tcW w:type="dxa" w:w="1560"/>
          </w:tcPr>
          <w:p>
            <w:r>
              <w:rPr>
                <w:rFonts w:ascii="Times New Roman" w:hAnsi="Times New Roman"/>
                <w:sz w:val="18"/>
              </w:rPr>
              <w:t>Host-country exit regulation</w:t>
            </w:r>
          </w:p>
        </w:tc>
        <w:tc>
          <w:tcPr>
            <w:tcW w:type="dxa" w:w="1560"/>
          </w:tcPr>
          <w:p>
            <w:r>
              <w:rPr>
                <w:rFonts w:ascii="Times New Roman" w:hAnsi="Times New Roman"/>
                <w:sz w:val="18"/>
              </w:rPr>
              <w:t>Regulatory/Institutional</w:t>
            </w:r>
          </w:p>
        </w:tc>
        <w:tc>
          <w:tcPr>
            <w:tcW w:type="dxa" w:w="1560"/>
          </w:tcPr>
          <w:p>
            <w:r>
              <w:rPr>
                <w:rFonts w:ascii="Times New Roman" w:hAnsi="Times New Roman"/>
                <w:sz w:val="18"/>
              </w:rPr>
              <w:t>Li et al. (2025)</w:t>
            </w:r>
          </w:p>
        </w:tc>
        <w:tc>
          <w:tcPr>
            <w:tcW w:type="dxa" w:w="1560"/>
          </w:tcPr>
          <w:p>
            <w:r>
              <w:rPr>
                <w:rFonts w:ascii="Times New Roman" w:hAnsi="Times New Roman"/>
                <w:sz w:val="18"/>
              </w:rPr>
              <w:t>Di Stefano &amp; Fratocchi (2019)</w:t>
            </w:r>
          </w:p>
        </w:tc>
        <w:tc>
          <w:tcPr>
            <w:tcW w:type="dxa" w:w="1560"/>
          </w:tcPr>
          <w:p>
            <w:r>
              <w:rPr>
                <w:rFonts w:ascii="Times New Roman" w:hAnsi="Times New Roman"/>
                <w:sz w:val="18"/>
              </w:rPr>
              <w:t>—</w:t>
            </w:r>
          </w:p>
        </w:tc>
        <w:tc>
          <w:tcPr>
            <w:tcW w:type="dxa" w:w="1560"/>
          </w:tcPr>
          <w:p>
            <w:r>
              <w:rPr>
                <w:rFonts w:ascii="Times New Roman" w:hAnsi="Times New Roman"/>
                <w:sz w:val="18"/>
              </w:rPr>
              <w:t>No confirmed — reported as general</w:t>
            </w:r>
          </w:p>
        </w:tc>
      </w:tr>
      <w:tr>
        <w:tc>
          <w:tcPr>
            <w:tcW w:type="dxa" w:w="1560"/>
          </w:tcPr>
          <w:p>
            <w:r>
              <w:rPr>
                <w:rFonts w:ascii="Times New Roman" w:hAnsi="Times New Roman"/>
                <w:sz w:val="18"/>
              </w:rPr>
              <w:t>Social-responsibility &amp; workforce-resistance exit constraints</w:t>
            </w:r>
          </w:p>
        </w:tc>
        <w:tc>
          <w:tcPr>
            <w:tcW w:type="dxa" w:w="1560"/>
          </w:tcPr>
          <w:p>
            <w:r>
              <w:rPr>
                <w:rFonts w:ascii="Times New Roman" w:hAnsi="Times New Roman"/>
                <w:sz w:val="18"/>
              </w:rPr>
              <w:t>Regulatory/Institutional</w:t>
            </w:r>
          </w:p>
        </w:tc>
        <w:tc>
          <w:tcPr>
            <w:tcW w:type="dxa" w:w="1560"/>
          </w:tcPr>
          <w:p>
            <w:r>
              <w:rPr>
                <w:rFonts w:ascii="Times New Roman" w:hAnsi="Times New Roman"/>
                <w:sz w:val="18"/>
              </w:rPr>
              <w:t>—</w:t>
            </w:r>
          </w:p>
        </w:tc>
        <w:tc>
          <w:tcPr>
            <w:tcW w:type="dxa" w:w="1560"/>
          </w:tcPr>
          <w:p>
            <w:r>
              <w:rPr>
                <w:rFonts w:ascii="Times New Roman" w:hAnsi="Times New Roman"/>
                <w:sz w:val="18"/>
              </w:rPr>
              <w:t>Di Stefano &amp; Fratocchi (2019)</w:t>
            </w:r>
          </w:p>
        </w:tc>
        <w:tc>
          <w:tcPr>
            <w:tcW w:type="dxa" w:w="1560"/>
          </w:tcPr>
          <w:p>
            <w:r>
              <w:rPr>
                <w:rFonts w:ascii="Times New Roman" w:hAnsi="Times New Roman"/>
                <w:sz w:val="18"/>
              </w:rPr>
              <w:t>—</w:t>
            </w:r>
          </w:p>
        </w:tc>
        <w:tc>
          <w:tcPr>
            <w:tcW w:type="dxa" w:w="1560"/>
          </w:tcPr>
          <w:p>
            <w:r>
              <w:rPr>
                <w:rFonts w:ascii="Times New Roman" w:hAnsi="Times New Roman"/>
                <w:sz w:val="18"/>
              </w:rPr>
              <w:t>No</w:t>
            </w:r>
          </w:p>
        </w:tc>
      </w:tr>
      <w:tr>
        <w:tc>
          <w:tcPr>
            <w:tcW w:type="dxa" w:w="1560"/>
          </w:tcPr>
          <w:p>
            <w:r>
              <w:rPr>
                <w:rFonts w:ascii="Times New Roman" w:hAnsi="Times New Roman"/>
                <w:sz w:val="18"/>
              </w:rPr>
              <w:t>Home-country compliance burden &amp; institutional frictions</w:t>
            </w:r>
          </w:p>
        </w:tc>
        <w:tc>
          <w:tcPr>
            <w:tcW w:type="dxa" w:w="1560"/>
          </w:tcPr>
          <w:p>
            <w:r>
              <w:rPr>
                <w:rFonts w:ascii="Times New Roman" w:hAnsi="Times New Roman"/>
                <w:sz w:val="18"/>
              </w:rPr>
              <w:t>Regulatory/Institutional</w:t>
            </w:r>
          </w:p>
        </w:tc>
        <w:tc>
          <w:tcPr>
            <w:tcW w:type="dxa" w:w="1560"/>
          </w:tcPr>
          <w:p>
            <w:r>
              <w:rPr>
                <w:rFonts w:ascii="Times New Roman" w:hAnsi="Times New Roman"/>
                <w:sz w:val="18"/>
              </w:rPr>
              <w:t>Mirzaei et al. (2021)</w:t>
            </w:r>
          </w:p>
        </w:tc>
        <w:tc>
          <w:tcPr>
            <w:tcW w:type="dxa" w:w="1560"/>
          </w:tcPr>
          <w:p>
            <w:r>
              <w:rPr>
                <w:rFonts w:ascii="Times New Roman" w:hAnsi="Times New Roman"/>
                <w:sz w:val="18"/>
              </w:rPr>
              <w:t>—</w:t>
            </w:r>
          </w:p>
        </w:tc>
        <w:tc>
          <w:tcPr>
            <w:tcW w:type="dxa" w:w="1560"/>
          </w:tcPr>
          <w:p>
            <w:r>
              <w:rPr>
                <w:rFonts w:ascii="Times New Roman" w:hAnsi="Times New Roman"/>
                <w:sz w:val="18"/>
              </w:rPr>
              <w:t>Gupta et al. (2023); Robinson &amp; Hsieh (2016, contextual)</w:t>
            </w:r>
          </w:p>
        </w:tc>
        <w:tc>
          <w:tcPr>
            <w:tcW w:type="dxa" w:w="1560"/>
          </w:tcPr>
          <w:p>
            <w:r>
              <w:rPr>
                <w:rFonts w:ascii="Times New Roman" w:hAnsi="Times New Roman"/>
                <w:sz w:val="18"/>
              </w:rPr>
              <w:t>No</w:t>
            </w:r>
          </w:p>
        </w:tc>
      </w:tr>
    </w:tbl>
    <w:p>
      <w:pPr>
        <w:pStyle w:val="Heading2"/>
      </w:pPr>
      <w:r>
        <w:t>4.2 Regulatory/Institutional Barriers</w:t>
      </w:r>
    </w:p>
    <w:p>
      <w:r>
        <w:t>Of the four categories, the regulatory/institutional category is supported by the least direct empirical evidence: as Table 1 shows, only two of its themes have any direct empirical source, and one theme rests on review evidence alone. Most of the category's content is accordingly review-level or conceptual, and it is reported here with that status made explicit.</w:t>
      </w:r>
    </w:p>
    <w:p>
      <w:r>
        <w:t>The first theme concerns host-country constraints on exiting the offshore operation. Among the Swedish manufacturing firms studied by Li et al. (2025), strict host-country layoff regulations, the inability to close or reduce offshore operations quickly, locked investments, and substantial exit costs were identified as barriers; this finding is reported here as general evidence, since the study does not tie it to a specific Asian host. The review literature reports convergent constraints: Di Stefano and Fratocchi (2019) note national closure regulations, foreign-plant exit costs in the form of closure fees and fiscal obligations, and host-country layoff constraints as obstacles to exiting offshore production discussed in the back-shoring literature. Together, the direct finding and the review evidence indicate that the disengagement side of reshoring can itself be regulated in ways that delay or burden implementation.</w:t>
      </w:r>
    </w:p>
    <w:p>
      <w:r>
        <w:t>Second, the review literature identifies social constraints on plant exit that operate alongside formal regulation. Di Stefano and Fratocchi (2019) report that social-responsibility considerations — managerial reluctance to close a facility or lay off its workforce — can constrain the decision and implementation of foreign-plant closure, and the same review notes potential employee resistance during the closure of foreign production facilities, although the available evidence for this latter point is limited and context-dependent. No direct empirical study in the sample observes these constraints, and they are therefore reported strictly as review evidence.</w:t>
      </w:r>
    </w:p>
    <w:p>
      <w:r>
        <w:t>Third, institutional frictions arise on the home side. Mirzaei et al. (2021) identify a mismatch between the national education system and manufacturing skill needs as a challenge to competitive domestic manufacturing — a constraint an individual firm cannot readily change. Conceptually, Gupta et al. (2023) identify home-country regulatory compliance — labour regulation, environmental standards, taxation, and production permits — as a constraint that becomes a barrier where it adds significant cost, delay, or capability demands. Contextually, labour-migration-policy conditions have been noted as a constraint on expanding domestic manufacturing (Robinson &amp; Hsieh, 2016), although this point is reported here as background rather than as a firm-level finding.</w:t>
      </w:r>
    </w:p>
    <w:p>
      <w:pPr>
        <w:pStyle w:val="Heading2"/>
      </w:pPr>
      <w:r>
        <w:t>4.3 Cultural/Organisational Barriers</w:t>
      </w:r>
    </w:p>
    <w:p>
      <w:r>
        <w:t>The strongest direct evidence in this category concerns the implementation stage itself. Across the four fashion-industry relocation cases studied by Boffelli et al. (2021), the failure of relocation initiatives was directly connected to mistakes made in the implementation phase, and the study identifies insufficient internal organisational readiness, managerial behavioural biases, and learning through trial-and-error during implementation as implementation-stage problems; its central conclusion is that reshoring succeeds only if firms manage implementation correctly. China features as the main offshore location across this sample, though the findings are not disaggregated by case. The review literature reports related organisational weaknesses — the immaturity of firms' reshoring processes and internal communication gaps (Wiesmann et al., 2017) — and, conceptually, a managerial-capability gap has been argued to constrain reshoring particularly for smaller firms (D'Ambrosio &amp; Lavoratori, 2025).</w:t>
      </w:r>
    </w:p>
    <w:p>
      <w:r>
        <w:t>A second, comparatively rare finding concerns the firm's internal structure. Mirzaei et al. (2021) identify silos between product development, production, sourcing, sales, and finance, and insufficient employee involvement, as challenges to competitive domestic manufacturing. This is a single study's evidence from the general Swedish home-country context rather than a corpus-wide pattern, and it is reported as such.</w:t>
      </w:r>
    </w:p>
    <w:p>
      <w:r>
        <w:t>Third, the inter-firm relational dimension emerges from the China-to-Italy partial-reshoring case (Pedroletti, 2025). Reducing the activities conducted by the Chinese supplier lowered the level of interaction and risked the reshoring firm being perceived as an unreliable partner, hampering the supplier's trust and mutual orientation; the supplier may end the relationship or turn to a competitor. This adverse supplier response is a finding of one detailed case and is not generalised beyond it.</w:t>
      </w:r>
    </w:p>
    <w:p>
      <w:r>
        <w:t>Fourth, the review literature identifies the governance mode of the return — whether reshored production is rebuilt in-house or outsourced to a domestic supplier — as an under-researched dimension of reshoring rather than a documented barrier (Pedroletti &amp; Ciabuschi, 2023). It is recorded here as a gap in the evidence.</w:t>
      </w:r>
    </w:p>
    <w:p>
      <w:r>
        <w:t>Finally, where reshoring is technology-enabled, an organisational-adaptation burden is reported consistently at review level. Digital adaptation requires changing routines, responsibilities, information flows, and supplier and customer relationships rather than merely purchasing technology, alongside a shortage of digital technical skills (Bilbao-Ubillos et al., 2024); technology-implementation readiness and the absence of a valid business model preceding the technology choice are likewise reported among barriers at the intersection of reshoring and Industry 4.0 (Espíndola et al., 2023). Conceptually, Industry 4.0 is framed as playing a dual role — an enabler of reshoring that simultaneously imposes new requirements in digital skills, investment, integration, and organisational adaptation (Gupta et al., 2023) — and an automation-scale threshold has been argued whereby automation does not automatically ease reshoring (D'Ambrosio &amp; Lavoratori, 2025). No direct empirical study in the sample observes this theme.</w:t>
      </w:r>
    </w:p>
    <w:p>
      <w:pPr>
        <w:pStyle w:val="Heading2"/>
      </w:pPr>
      <w:r>
        <w:t>4.4 Cost/Operational Barriers</w:t>
      </w:r>
    </w:p>
    <w:p>
      <w:r>
        <w:t>The first cost/operational theme is the depleted domestic supply base. Mirzaei et al. (2021) find that firms may remain dependent on foreign suppliers even after production returns, because domestic materials, specialised components, supplier know-how, or sufficient local scale are lacking. Di Mauro et al. (2018) similarly report a depleted supply base in high-cost home countries and the need to rebuild suppliers as challenges entailed by backshoring; two of that study's four cases returned from China, although the individual findings are not attributed to specific cases. The review literature reinforces the theme: weak home-country supplier capacity, local networks, and supply-chain integration are reported as barriers (Wiesmann et al., 2017), and the erosion of domestic supplier networks is identified as an implementation concern discussed in the reshoring literature (Ocicka, 2016). Conceptually, a domestic quality-supplier gap is also noted (Gupta et al., 2023).</w:t>
      </w:r>
    </w:p>
    <w:p>
      <w:r>
        <w:t>Second, the return itself generates new costs. Among the Swedish firms studied by Li et al. (2025), cost miscalculation was identified where actual cost difficulties arose during or after relocation. At review level, implementation-cost escalation and cost-coordination complexity are reported among the barriers at the reshoring–Industry 4.0 intersection (Espíndola et al., 2023). Conceptually, D'Ambrosio and Lavoratori (2025) describe the new fixed costs of reshoring — building or restoring a plant, acquiring equipment and automation, hiring and training workers, and rebuilding a domestic supplier network — as among the most direct implementation barriers, and switching and reconfiguration costs, including duplicate operations during the transition, are conceptually identified by Gupta et al. (2023). These new costs of the return are distinct from the sunk costs of the offshore operation, which are reported separately in Section 4.5.</w:t>
      </w:r>
    </w:p>
    <w:p>
      <w:r>
        <w:t>Third, a high-cost home environment constrains the viability and scale of reshoring rather than blocking physical relocation. Labour cost was named as a challenge by all five case firms studied by Mirzaei et al. (2021), alongside high energy and overhead costs; labour, overhead, and total costs were likewise among the prominent barriers reported across the Swedish firms studied by Li et al. (2025). Conceptually, a home-country factor-cost disadvantage is argued to affect the economic feasibility and scale of the return (D'Ambrosio &amp; Lavoratori, 2025). This theme is reported here strictly as a constraint on re-established domestic production, not as a motive in the original offshoring decision.</w:t>
      </w:r>
    </w:p>
    <w:p>
      <w:r>
        <w:t>Fourth, where only part of production returns, hybrid operation creates its own operational burden. In the China-to-Italy case (Pedroletti, 2025), partial reshoring split production between Italian and Chinese suppliers, requiring technically compatible components and more active cross-country coordination at additional cost; reducing the supplier base also left the firm dependent on fewer, non-substitutable partners, with reduced bargaining power and higher switching costs. This is the finding of one detailed case.</w:t>
      </w:r>
    </w:p>
    <w:p>
      <w:r>
        <w:t>Fifth, the underestimation of operational adjustments during the transfer — linked to reconfiguring the manufacturing process and adapting internal production — emerged as the strongest implementation barrier in the multi-case fashion study of Boffelli et al. (2021). The finding is the study's own rating and is not extended beyond its four-case sample.</w:t>
      </w:r>
    </w:p>
    <w:p>
      <w:pPr>
        <w:pStyle w:val="Heading2"/>
      </w:pPr>
      <w:r>
        <w:t>4.5 Asset/Capability Barriers</w:t>
      </w:r>
    </w:p>
    <w:p>
      <w:r>
        <w:t>The loss of domestic skilled labour and manufacturing competence is the most broadly supported barrier in the corpus, appearing in direct case evidence, across the review literature, and in conceptual argument. In the China-to-UK case reported by Pegoraro et al. (2022), the firm initially lacked the knowledge to produce the part independently; workforce training and the learning curve — mastering new equipment, training staff, accumulating practical experience, and reaching acceptable quality — extended over roughly a twelve-month period in that case. Among Swedish firms, an internal competence gap reflecting competencies lost over years of offshoring was identified by Li et al. (2025), and a domestic skilled-labour shortage — loss of tacit knowledge, deficits in core manufacturing competencies, and high training time and cost — by Mirzaei et al. (2021). Di Mauro et al. (2018) report a scarcity of specialised manpower and the loss of domestic competences as constraints on implementing the return. At review level, a skilled-labour shortage and internal capability gap (Wiesmann et al., 2017), a technical-skills shortage together with a generational manufacturing-skills gap (Ocicka, 2016), and a digital technical-skills shortage (Bilbao-Ubillos et al., 2024) are reported; conceptually, a domestic skilled-workforce shortage (D'Ambrosio &amp; Lavoratori, 2025) and a domestic labour-availability gap (Gupta et al., 2023) are argued.</w:t>
      </w:r>
    </w:p>
    <w:p>
      <w:r>
        <w:t>Closely related is the physical side of capability rebuilding. The same China-to-UK case demonstrates that re-establishing production is more than acquiring a machine: the firm had to identify the needed technology, locate and integrate suitable equipment, and additionally obtain tooling, tooling suppliers, software, technical support, and specialised services — rebuilding an interconnected production system rather than making a single purchase (Pegoraro et al., 2022). A domestic capacity shortage and facilities and equipment constraints were identified among Swedish firms even after the reshoring decision had been made (Li et al., 2025), and a domestic production-capacity gap — insufficient facilities, equipment limits, and investment resources — is reported by Mirzaei et al. (2021). The review literature records a domestic capacity shortage and an infrastructure lock-out following prolonged offshoring (Wiesmann et al., 2017), and the theme is embedded conceptually in the new-fixed-costs argument (D'Ambrosio &amp; Lavoratori, 2025) and in a conceptually noted domestic infrastructure gap (Gupta et al., 2023).</w:t>
      </w:r>
    </w:p>
    <w:p>
      <w:r>
        <w:t>Third, specialised capabilities concentrated with the host-country supplier can be difficult to repatriate. In the China-to-Italy case (Pedroletti, 2025), persistent dependence on specialised Chinese supplier capabilities constrained how much production could return: the firm lacked the necessary production knowledge, experience with the components, specialised sourcing skills, and suitable domestic suppliers, so that partial rather than full reshoring functioned as a response to the practical impossibility of fully replacing the Chinese network. The gap concerned this specific, specialised capability rather than domestic manufacturing capacity in general. Supplier and intellectual-property dependence — where the firm does not fully control rights to a component or technology and cannot simply move production home — was likewise identified among Swedish firms (Li et al., 2025). At review level, host-supplier dependence (Wiesmann et al., 2017) and offshore knowledge dependence (Bilbao-Ubillos et al., 2024) are reported, and knowledge-transfer ambiguity — knowledge residing with offshore employees, subsidiaries, suppliers, or the host-country network — is conceptually identified (Gupta et al., 2023).</w:t>
      </w:r>
    </w:p>
    <w:p>
      <w:r>
        <w:t>Fourth, established value chains exhibit inertia. Offshore sunk-cost inertia is reported at review level (Bilbao-Ubillos et al., 2024), and D'Ambrosio and Lavoratori (2025) argue conceptually that value chains are "sticky," particularly for large firms, owing to sunk investment, accumulated supplier relationships, specialised infrastructure, and location-specific knowledge. No direct empirical study in the sample observes this theme; it rests on review and conceptual evidence only, and the already-incurred offshore sunk costs it describes are distinct from the new fixed costs of the return reported in Section 4.4.</w:t>
      </w:r>
    </w:p>
    <w:p>
      <w:r>
        <w:t>Finally, a detailed UK case demonstrates that implementation depended on the readiness of the home region: the regional availability of skilled labour, specialised suppliers, equipment providers, policy support, and training institutions shaped the process, with gaps manifesting as added search and development time rather than absolute absence (Pegoraro et al., 2022). At review level, a related digital-ecosystem gap is reported: digital servitisation requires interaction with technology providers, data specialists, suppliers, and research institutions, whose absence becomes a barrier (Bilbao-Ubillos et al., 2024).</w:t>
      </w:r>
    </w:p>
    <w:p>
      <w:r>
        <w:t>In summary, this chapter has reported eighteen barrier themes across the four categories of the framework. The asset/capability category carries the broadest support, anchored by two Asia-specific single-case studies; the cost/operational and cultural/organisational categories combine direct empirical findings with review and conceptual support; and the regulatory/institutional category rests largely on review-level evidence. The following chapter interprets these findings, connects them to the theoretical perspectives of the thesis, and derives managerial implications.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