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r>
        <w:br w:type="page"/>
      </w:r>
    </w:p>
    <w:p>
      <w:pPr>
        <w:pStyle w:val="Heading1"/>
      </w:pPr>
      <w:r>
        <w:t>Table of Contents</w:t>
      </w:r>
    </w:p>
    <w:p>
      <w:fldSimple w:instr="TOC \o &quot;1-3&quot; \h \z \u">
        <w:r>
          <w:t>Right-click and choose "Update Field" to generate the Table of Contents.</w:t>
        </w:r>
      </w:fldSimple>
    </w:p>
    <w:p>
      <w:r>
        <w:br w:type="page"/>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(Xing et al., 2024; Yang, 2016).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the same evidence indicates that reshoring is more likely to be adopted in capital- and technology-intensive manufacturing than in labour-intensive industries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 (Tsai &amp; Urmetzer, 2024).</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 (Barbieri et al., 2020).</w:t>
      </w:r>
    </w:p>
    <w:p>
      <w:r>
        <w:t>In this context, reshoring has become a topic of increasing interest for companies, policymakers, and academics (Barbieri et al., 2020; Pedroletti &amp; Ciabuschi, 2023).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good strategic argument for bringing production back does not automatically mean that a firm has the resources and capabilities to do it.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(Boffelli et al., 2021),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(Pedroletti &amp; Ciabuschi, 2023; Wiesmann et al., 2017).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(Gao et al., 2022).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r>
        <w:br w:type="page"/>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not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draws on a variety of theoretical approaches, with no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(Wiesmann et al., 2017).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r>
        <w:br w:type="page"/>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not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instead of being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not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without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instead of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not generalisable, a constraint stated explicitly in the results and the limitations discussion.</w:t>
      </w:r>
    </w:p>
    <w:p>
      <w:r>
        <w:t>The next chapter reports the results of this synthesis: the barriers identified in the literature, organised within the four categories of the firm-level framework.</w:t>
      </w:r>
    </w:p>
    <w:p>
      <w:r>
        <w:br w:type="page"/>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not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pPr>
        <w:sectPr>
          <w:footerReference w:type="default" r:id="rId9"/>
          <w:pgSz w:w="12240" w:h="15840"/>
          <w:pgMar w:top="1440" w:right="1440" w:bottom="1440" w:left="1440" w:header="720" w:footer="720" w:gutter="0"/>
          <w:cols w:space="720"/>
          <w:titlePg/>
          <w:docGrid w:linePitch="360"/>
        </w:sectPr>
      </w:pP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Host-country exit regulation</w:t>
            </w:r>
          </w:p>
        </w:tc>
        <w:tc>
          <w:tcPr>
            <w:tcW w:type="dxa" w:w="2592"/>
          </w:tcPr>
          <w:p>
            <w:pPr>
              <w:spacing w:line="240" w:lineRule="auto"/>
            </w:pPr>
            <w:r>
              <w:rPr>
                <w:sz w:val="20"/>
              </w:rPr>
              <w:t>Li et al. (2025)</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Partial — Li et al. explicitly name China (and Poland) among the affected host locations</w:t>
            </w:r>
          </w:p>
        </w:tc>
      </w:tr>
      <w:tr>
        <w:tc>
          <w:tcPr>
            <w:tcW w:type="dxa" w:w="2592"/>
          </w:tcPr>
          <w:p>
            <w:pPr>
              <w:spacing w:line="240" w:lineRule="auto"/>
            </w:pPr>
            <w:r>
              <w:rPr>
                <w:sz w:val="20"/>
              </w:rPr>
              <w:t>Social-responsibility &amp; workforce-resistance exit constraints</w:t>
            </w:r>
          </w:p>
        </w:tc>
        <w:tc>
          <w:tcPr>
            <w:tcW w:type="dxa" w:w="2592"/>
          </w:tcPr>
          <w:p>
            <w:pPr>
              <w:spacing w:line="240" w:lineRule="auto"/>
            </w:pPr>
            <w:r>
              <w:rPr>
                <w:sz w:val="20"/>
              </w:rPr>
              <w:t>—</w:t>
            </w:r>
          </w:p>
        </w:tc>
        <w:tc>
          <w:tcPr>
            <w:tcW w:type="dxa" w:w="2592"/>
          </w:tcPr>
          <w:p>
            <w:pPr>
              <w:spacing w:line="240" w:lineRule="auto"/>
            </w:pPr>
            <w:r>
              <w:rPr>
                <w:sz w:val="20"/>
              </w:rPr>
              <w:t>Di Stefano &amp; Fratocchi (2019)</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Home-country compliance burden &amp; institutional frictions</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Gupta et al. (2023)</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and not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pPr>
        <w:sectPr>
          <w:pgSz w:w="12240" w:h="15840"/>
          <w:pgMar w:top="1440" w:right="1440" w:bottom="1440" w:left="1440" w:header="720" w:footer="720" w:gutter="0"/>
          <w:cols w:space="720"/>
          <w:docGrid w:linePitch="360"/>
        </w:sectPr>
      </w:pP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Organisational readiness, behavioural biases, learning-by-trial</w:t>
            </w:r>
          </w:p>
        </w:tc>
        <w:tc>
          <w:tcPr>
            <w:tcW w:type="dxa" w:w="2592"/>
          </w:tcPr>
          <w:p>
            <w:pPr>
              <w:spacing w:line="240" w:lineRule="auto"/>
            </w:pPr>
            <w:r>
              <w:rPr>
                <w:sz w:val="20"/>
              </w:rPr>
              <w:t>Boffelli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w:t>
            </w:r>
          </w:p>
        </w:tc>
        <w:tc>
          <w:tcPr>
            <w:tcW w:type="dxa" w:w="2592"/>
          </w:tcPr>
          <w:p>
            <w:pPr>
              <w:spacing w:line="240" w:lineRule="auto"/>
            </w:pPr>
            <w:r>
              <w:rPr>
                <w:sz w:val="20"/>
              </w:rPr>
              <w:t>No — Boffelli et al.'s hosts were European and North African</w:t>
            </w:r>
          </w:p>
        </w:tc>
      </w:tr>
      <w:tr>
        <w:tc>
          <w:tcPr>
            <w:tcW w:type="dxa" w:w="2592"/>
          </w:tcPr>
          <w:p>
            <w:pPr>
              <w:spacing w:line="240" w:lineRule="auto"/>
            </w:pPr>
            <w:r>
              <w:rPr>
                <w:sz w:val="20"/>
              </w:rPr>
              <w:t>Intra-organisational silos &amp; weak employee involvement</w:t>
            </w:r>
          </w:p>
        </w:tc>
        <w:tc>
          <w:tcPr>
            <w:tcW w:type="dxa" w:w="2592"/>
          </w:tcPr>
          <w:p>
            <w:pPr>
              <w:spacing w:line="240" w:lineRule="auto"/>
            </w:pPr>
            <w:r>
              <w:rPr>
                <w:sz w:val="20"/>
              </w:rPr>
              <w:t>Mirzaei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w:t>
            </w:r>
          </w:p>
        </w:tc>
      </w:tr>
      <w:tr>
        <w:tc>
          <w:tcPr>
            <w:tcW w:type="dxa" w:w="2592"/>
          </w:tcPr>
          <w:p>
            <w:pPr>
              <w:spacing w:line="240" w:lineRule="auto"/>
            </w:pPr>
            <w:r>
              <w:rPr>
                <w:sz w:val="20"/>
              </w:rPr>
              <w:t>Adverse host-supplier relational response</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Governance mode of the return (gap)</w:t>
            </w:r>
          </w:p>
        </w:tc>
        <w:tc>
          <w:tcPr>
            <w:tcW w:type="dxa" w:w="2592"/>
          </w:tcPr>
          <w:p>
            <w:pPr>
              <w:spacing w:line="240" w:lineRule="auto"/>
            </w:pPr>
            <w:r>
              <w:rPr>
                <w:sz w:val="20"/>
              </w:rPr>
              <w:t>—</w:t>
            </w:r>
          </w:p>
        </w:tc>
        <w:tc>
          <w:tcPr>
            <w:tcW w:type="dxa" w:w="2592"/>
          </w:tcPr>
          <w:p>
            <w:pPr>
              <w:spacing w:line="240" w:lineRule="auto"/>
            </w:pPr>
            <w:r>
              <w:rPr>
                <w:sz w:val="20"/>
              </w:rPr>
              <w:t>Pedroletti &amp; Ciabuschi (2023)</w:t>
            </w:r>
          </w:p>
        </w:tc>
        <w:tc>
          <w:tcPr>
            <w:tcW w:type="dxa" w:w="2592"/>
          </w:tcPr>
          <w:p>
            <w:pPr>
              <w:spacing w:line="240" w:lineRule="auto"/>
            </w:pPr>
            <w:r>
              <w:rPr>
                <w:sz w:val="20"/>
              </w:rPr>
              <w:t>—</w:t>
            </w:r>
          </w:p>
        </w:tc>
        <w:tc>
          <w:tcPr>
            <w:tcW w:type="dxa" w:w="2592"/>
          </w:tcPr>
          <w:p>
            <w:pPr>
              <w:spacing w:line="240" w:lineRule="auto"/>
            </w:pPr>
            <w:r>
              <w:rPr>
                <w:sz w:val="20"/>
              </w:rPr>
              <w:t>No — reported as under-researched dimension</w:t>
            </w:r>
          </w:p>
        </w:tc>
      </w:tr>
      <w:tr>
        <w:tc>
          <w:tcPr>
            <w:tcW w:type="dxa" w:w="2592"/>
          </w:tcPr>
          <w:p>
            <w:pPr>
              <w:spacing w:line="240" w:lineRule="auto"/>
            </w:pPr>
            <w:r>
              <w:rPr>
                <w:sz w:val="20"/>
              </w:rPr>
              <w:t>Digital/organisational adaptation burden</w:t>
            </w:r>
          </w:p>
        </w:tc>
        <w:tc>
          <w:tcPr>
            <w:tcW w:type="dxa" w:w="2592"/>
          </w:tcPr>
          <w:p>
            <w:pPr>
              <w:spacing w:line="240" w:lineRule="auto"/>
            </w:pPr>
            <w:r>
              <w:rPr>
                <w:sz w:val="20"/>
              </w:rPr>
              <w:t>—</w:t>
            </w:r>
          </w:p>
        </w:tc>
        <w:tc>
          <w:tcPr>
            <w:tcW w:type="dxa" w:w="2592"/>
          </w:tcPr>
          <w:p>
            <w:pPr>
              <w:spacing w:line="240" w:lineRule="auto"/>
            </w:pPr>
            <w:r>
              <w:rPr>
                <w:sz w:val="20"/>
              </w:rPr>
              <w:t>Bilbao-Ubillos et al. (2024); Espíndola et al. (2023)</w:t>
            </w:r>
          </w:p>
        </w:tc>
        <w:tc>
          <w:tcPr>
            <w:tcW w:type="dxa" w:w="2592"/>
          </w:tcPr>
          <w:p>
            <w:pPr>
              <w:spacing w:line="240" w:lineRule="auto"/>
            </w:pPr>
            <w:r>
              <w:rPr>
                <w:sz w:val="20"/>
              </w:rPr>
              <w:t>Gupta et al. (2023); D'Ambrosio &amp; Lavoratori (2025)</w:t>
            </w:r>
          </w:p>
        </w:tc>
        <w:tc>
          <w:tcPr>
            <w:tcW w:type="dxa" w:w="2592"/>
          </w:tcPr>
          <w:p>
            <w:pPr>
              <w:spacing w:line="240" w:lineRule="auto"/>
            </w:pPr>
            <w:r>
              <w:rPr>
                <w:sz w:val="20"/>
              </w:rPr>
              <w:t>No</w:t>
            </w:r>
          </w:p>
        </w:tc>
      </w:tr>
    </w:tbl>
    <w:p>
      <w:pPr>
        <w:sectPr>
          <w:pgSz w:w="15840" w:h="12240" w:orient="landscape"/>
          <w:pgMar w:top="1440" w:right="1440" w:bottom="1440" w:left="1440" w:header="720" w:footer="720" w:gutter="0"/>
          <w:cols w:space="720"/>
          <w:docGrid w:linePitch="360"/>
        </w:sectPr>
      </w:pP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more than purchasing technology — it means changing routines, responsibilities, information flows, and supplier and customer relationships,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pPr>
        <w:sectPr>
          <w:pgSz w:w="12240" w:h="15840"/>
          <w:pgMar w:top="1440" w:right="1440" w:bottom="1440" w:left="1440" w:header="720" w:footer="720" w:gutter="0"/>
          <w:cols w:space="720"/>
          <w:docGrid w:linePitch="360"/>
        </w:sectPr>
      </w:pP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Hollowed-out supply base / supplier-network rebuilding</w:t>
            </w:r>
          </w:p>
        </w:tc>
        <w:tc>
          <w:tcPr>
            <w:tcW w:type="dxa" w:w="2592"/>
          </w:tcPr>
          <w:p>
            <w:pPr>
              <w:spacing w:line="240" w:lineRule="auto"/>
            </w:pPr>
            <w:r>
              <w:rPr>
                <w:sz w:val="20"/>
              </w:rPr>
              <w:t>Mirzaei et al. (2021); Di Mauro et al. (2018)</w:t>
            </w:r>
          </w:p>
        </w:tc>
        <w:tc>
          <w:tcPr>
            <w:tcW w:type="dxa" w:w="2592"/>
          </w:tcPr>
          <w:p>
            <w:pPr>
              <w:spacing w:line="240" w:lineRule="auto"/>
            </w:pPr>
            <w:r>
              <w:rPr>
                <w:sz w:val="20"/>
              </w:rPr>
              <w:t>Wiesmann et al. (2017); Ocicka (2016)</w:t>
            </w:r>
          </w:p>
        </w:tc>
        <w:tc>
          <w:tcPr>
            <w:tcW w:type="dxa" w:w="2592"/>
          </w:tcPr>
          <w:p>
            <w:pPr>
              <w:spacing w:line="240" w:lineRule="auto"/>
            </w:pPr>
            <w:r>
              <w:rPr>
                <w:sz w:val="20"/>
              </w:rPr>
              <w:t>Gupta et al. (2023)</w:t>
            </w:r>
          </w:p>
        </w:tc>
        <w:tc>
          <w:tcPr>
            <w:tcW w:type="dxa" w:w="2592"/>
          </w:tcPr>
          <w:p>
            <w:pPr>
              <w:spacing w:line="240" w:lineRule="auto"/>
            </w:pPr>
            <w:r>
              <w:rPr>
                <w:sz w:val="20"/>
              </w:rPr>
              <w:t>Partial — Di Mauro et al. (2 of 4 cases from China, unattributed)</w:t>
            </w:r>
          </w:p>
        </w:tc>
      </w:tr>
      <w:tr>
        <w:tc>
          <w:tcPr>
            <w:tcW w:type="dxa" w:w="2592"/>
          </w:tcPr>
          <w:p>
            <w:pPr>
              <w:spacing w:line="240" w:lineRule="auto"/>
            </w:pPr>
            <w:r>
              <w:rPr>
                <w:sz w:val="20"/>
              </w:rPr>
              <w:t>New fixed costs &amp; switching/reconfiguration costs</w:t>
            </w:r>
          </w:p>
        </w:tc>
        <w:tc>
          <w:tcPr>
            <w:tcW w:type="dxa" w:w="2592"/>
          </w:tcPr>
          <w:p>
            <w:pPr>
              <w:spacing w:line="240" w:lineRule="auto"/>
            </w:pPr>
            <w:r>
              <w:rPr>
                <w:sz w:val="20"/>
              </w:rPr>
              <w:t>Li et al. (2025)</w:t>
            </w:r>
          </w:p>
        </w:tc>
        <w:tc>
          <w:tcPr>
            <w:tcW w:type="dxa" w:w="2592"/>
          </w:tcPr>
          <w:p>
            <w:pPr>
              <w:spacing w:line="240" w:lineRule="auto"/>
            </w:pPr>
            <w:r>
              <w:rPr>
                <w:sz w:val="20"/>
              </w:rPr>
              <w:t>Espíndola et al. (2023)</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No</w:t>
            </w:r>
          </w:p>
        </w:tc>
      </w:tr>
      <w:tr>
        <w:tc>
          <w:tcPr>
            <w:tcW w:type="dxa" w:w="2592"/>
          </w:tcPr>
          <w:p>
            <w:pPr>
              <w:spacing w:line="240" w:lineRule="auto"/>
            </w:pPr>
            <w:r>
              <w:rPr>
                <w:sz w:val="20"/>
              </w:rPr>
              <w:t>High-cost home environment</w:t>
            </w:r>
          </w:p>
        </w:tc>
        <w:tc>
          <w:tcPr>
            <w:tcW w:type="dxa" w:w="2592"/>
          </w:tcPr>
          <w:p>
            <w:pPr>
              <w:spacing w:line="240" w:lineRule="auto"/>
            </w:pPr>
            <w:r>
              <w:rPr>
                <w:sz w:val="20"/>
              </w:rPr>
              <w:t>Mirzaei et al. (2021); Li et al. (2025)</w:t>
            </w:r>
          </w:p>
        </w:tc>
        <w:tc>
          <w:tcPr>
            <w:tcW w:type="dxa" w:w="2592"/>
          </w:tcPr>
          <w:p>
            <w:pPr>
              <w:spacing w:line="240" w:lineRule="auto"/>
            </w:pPr>
            <w:r>
              <w:rPr>
                <w:sz w:val="20"/>
              </w:rPr>
              <w:t>—</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Hybrid-operation coordination complexity (partial reshoring)</w:t>
            </w:r>
          </w:p>
        </w:tc>
        <w:tc>
          <w:tcPr>
            <w:tcW w:type="dxa" w:w="2592"/>
          </w:tcPr>
          <w:p>
            <w:pPr>
              <w:spacing w:line="240" w:lineRule="auto"/>
            </w:pPr>
            <w:r>
              <w:rPr>
                <w:sz w:val="20"/>
              </w:rPr>
              <w:t>Pedroletti (2025)</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Yes — Pedroletti (single case)</w:t>
            </w:r>
          </w:p>
        </w:tc>
      </w:tr>
      <w:tr>
        <w:tc>
          <w:tcPr>
            <w:tcW w:type="dxa" w:w="2592"/>
          </w:tcPr>
          <w:p>
            <w:pPr>
              <w:spacing w:line="240" w:lineRule="auto"/>
            </w:pPr>
            <w:r>
              <w:rPr>
                <w:sz w:val="20"/>
              </w:rPr>
              <w:t>Underestimated operational adjustments</w:t>
            </w:r>
          </w:p>
        </w:tc>
        <w:tc>
          <w:tcPr>
            <w:tcW w:type="dxa" w:w="2592"/>
          </w:tcPr>
          <w:p>
            <w:pPr>
              <w:spacing w:line="240" w:lineRule="auto"/>
            </w:pPr>
            <w:r>
              <w:rPr>
                <w:sz w:val="20"/>
              </w:rPr>
              <w:t>Boffelli et al. (2021)</w:t>
            </w:r>
          </w:p>
        </w:tc>
        <w:tc>
          <w:tcPr>
            <w:tcW w:type="dxa" w:w="2592"/>
          </w:tcPr>
          <w:p>
            <w:pPr>
              <w:spacing w:line="240" w:lineRule="auto"/>
            </w:pPr>
            <w:r>
              <w:rPr>
                <w:sz w:val="20"/>
              </w:rPr>
              <w:t>—</w:t>
            </w:r>
          </w:p>
        </w:tc>
        <w:tc>
          <w:tcPr>
            <w:tcW w:type="dxa" w:w="2592"/>
          </w:tcPr>
          <w:p>
            <w:pPr>
              <w:spacing w:line="240" w:lineRule="auto"/>
            </w:pPr>
            <w:r>
              <w:rPr>
                <w:sz w:val="20"/>
              </w:rPr>
              <w:t>—</w:t>
            </w:r>
          </w:p>
        </w:tc>
        <w:tc>
          <w:tcPr>
            <w:tcW w:type="dxa" w:w="2592"/>
          </w:tcPr>
          <w:p>
            <w:pPr>
              <w:spacing w:line="240" w:lineRule="auto"/>
            </w:pPr>
            <w:r>
              <w:rPr>
                <w:sz w:val="20"/>
              </w:rPr>
              <w:t>No — hosts were Romania, Morocco, Croatia, and Hungary</w:t>
            </w:r>
          </w:p>
        </w:tc>
      </w:tr>
    </w:tbl>
    <w:p>
      <w:pPr>
        <w:sectPr>
          <w:pgSz w:w="15840" w:h="12240" w:orient="landscape"/>
          <w:pgMar w:top="1440" w:right="1440" w:bottom="1440" w:left="1440" w:header="720" w:footer="720" w:gutter="0"/>
          <w:cols w:space="720"/>
          <w:docGrid w:linePitch="360"/>
        </w:sectPr>
      </w:pP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does not block physical relocation; it constrains the viability and scale of reshoring.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pPr>
        <w:sectPr>
          <w:pgSz w:w="12240" w:h="15840"/>
          <w:pgMar w:top="1440" w:right="1440" w:bottom="1440" w:left="1440" w:header="720" w:footer="720" w:gutter="0"/>
          <w:cols w:space="720"/>
          <w:docGrid w:linePitch="360"/>
        </w:sectPr>
      </w:pP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Pr>
                <w:b/>
                <w:sz w:val="20"/>
              </w:rPr>
              <w:t>Barrier theme</w:t>
            </w:r>
          </w:p>
        </w:tc>
        <w:tc>
          <w:tcPr>
            <w:tcW w:type="dxa" w:w="2592"/>
          </w:tcPr>
          <w:p>
            <w:pPr>
              <w:spacing w:line="240" w:lineRule="auto"/>
            </w:pPr>
            <w:r>
              <w:rPr>
                <w:b/>
                <w:sz w:val="20"/>
              </w:rPr>
              <w:t>Direct empirical</w:t>
            </w:r>
          </w:p>
        </w:tc>
        <w:tc>
          <w:tcPr>
            <w:tcW w:type="dxa" w:w="2592"/>
          </w:tcPr>
          <w:p>
            <w:pPr>
              <w:spacing w:line="240" w:lineRule="auto"/>
            </w:pPr>
            <w:r>
              <w:rPr>
                <w:b/>
                <w:sz w:val="20"/>
              </w:rPr>
              <w:t>Review</w:t>
            </w:r>
          </w:p>
        </w:tc>
        <w:tc>
          <w:tcPr>
            <w:tcW w:type="dxa" w:w="2592"/>
          </w:tcPr>
          <w:p>
            <w:pPr>
              <w:spacing w:line="240" w:lineRule="auto"/>
            </w:pPr>
            <w:r>
              <w:rPr>
                <w:b/>
                <w:sz w:val="20"/>
              </w:rPr>
              <w:t>Conceptual</w:t>
            </w:r>
          </w:p>
        </w:tc>
        <w:tc>
          <w:tcPr>
            <w:tcW w:type="dxa" w:w="2592"/>
          </w:tcPr>
          <w:p>
            <w:pPr>
              <w:spacing w:line="240" w:lineRule="auto"/>
            </w:pPr>
            <w:r>
              <w:rPr>
                <w:b/>
                <w:sz w:val="20"/>
              </w:rPr>
              <w:t>Asia-specific status</w:t>
            </w:r>
          </w:p>
        </w:tc>
      </w:tr>
      <w:tr>
        <w:tc>
          <w:tcPr>
            <w:tcW w:type="dxa" w:w="2592"/>
          </w:tcPr>
          <w:p>
            <w:pPr>
              <w:spacing w:line="240" w:lineRule="auto"/>
            </w:pPr>
            <w:r>
              <w:rPr>
                <w:sz w:val="20"/>
              </w:rPr>
              <w:t>Domestic skilled-labour &amp; competence gap</w:t>
            </w:r>
          </w:p>
        </w:tc>
        <w:tc>
          <w:tcPr>
            <w:tcW w:type="dxa" w:w="2592"/>
          </w:tcPr>
          <w:p>
            <w:pPr>
              <w:spacing w:line="240" w:lineRule="auto"/>
            </w:pPr>
            <w:r>
              <w:rPr>
                <w:sz w:val="20"/>
              </w:rPr>
              <w:t>Pegoraro et al. (2022); Li et al. (2025); Di Mauro et al. (2018); Mirzaei et al. (2021)</w:t>
            </w:r>
          </w:p>
        </w:tc>
        <w:tc>
          <w:tcPr>
            <w:tcW w:type="dxa" w:w="2592"/>
          </w:tcPr>
          <w:p>
            <w:pPr>
              <w:spacing w:line="240" w:lineRule="auto"/>
            </w:pPr>
            <w:r>
              <w:rPr>
                <w:sz w:val="20"/>
              </w:rPr>
              <w:t>Wiesmann et al. (2017); Ocicka (2016); Bilbao-Ubillos et al. (2024)</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China→UK case); others general/partial</w:t>
            </w:r>
          </w:p>
        </w:tc>
      </w:tr>
      <w:tr>
        <w:tc>
          <w:tcPr>
            <w:tcW w:type="dxa" w:w="2592"/>
          </w:tcPr>
          <w:p>
            <w:pPr>
              <w:spacing w:line="240" w:lineRule="auto"/>
            </w:pPr>
            <w:r>
              <w:rPr>
                <w:sz w:val="20"/>
              </w:rPr>
              <w:t>Domestic capacity, facilities &amp; machinery gap</w:t>
            </w:r>
          </w:p>
        </w:tc>
        <w:tc>
          <w:tcPr>
            <w:tcW w:type="dxa" w:w="2592"/>
          </w:tcPr>
          <w:p>
            <w:pPr>
              <w:spacing w:line="240" w:lineRule="auto"/>
            </w:pPr>
            <w:r>
              <w:rPr>
                <w:sz w:val="20"/>
              </w:rPr>
              <w:t>Pegoraro et al. (2022); Li et al. (2025); Mirzaei et al. (2021)</w:t>
            </w:r>
          </w:p>
        </w:tc>
        <w:tc>
          <w:tcPr>
            <w:tcW w:type="dxa" w:w="2592"/>
          </w:tcPr>
          <w:p>
            <w:pPr>
              <w:spacing w:line="240" w:lineRule="auto"/>
            </w:pPr>
            <w:r>
              <w:rPr>
                <w:sz w:val="20"/>
              </w:rPr>
              <w:t>Wiesmann et al. (2017)</w:t>
            </w:r>
          </w:p>
        </w:tc>
        <w:tc>
          <w:tcPr>
            <w:tcW w:type="dxa" w:w="2592"/>
          </w:tcPr>
          <w:p>
            <w:pPr>
              <w:spacing w:line="240" w:lineRule="auto"/>
            </w:pPr>
            <w:r>
              <w:rPr>
                <w:sz w:val="20"/>
              </w:rPr>
              <w:t>D'Ambrosio &amp; Lavoratori (2025); Gupta et al. (2023)</w:t>
            </w:r>
          </w:p>
        </w:tc>
        <w:tc>
          <w:tcPr>
            <w:tcW w:type="dxa" w:w="2592"/>
          </w:tcPr>
          <w:p>
            <w:pPr>
              <w:spacing w:line="240" w:lineRule="auto"/>
            </w:pPr>
            <w:r>
              <w:rPr>
                <w:sz w:val="20"/>
              </w:rPr>
              <w:t>Yes — Pegoraro et al. (single case); others general</w:t>
            </w:r>
          </w:p>
        </w:tc>
      </w:tr>
      <w:tr>
        <w:tc>
          <w:tcPr>
            <w:tcW w:type="dxa" w:w="2592"/>
          </w:tcPr>
          <w:p>
            <w:pPr>
              <w:spacing w:line="240" w:lineRule="auto"/>
            </w:pPr>
            <w:r>
              <w:rPr>
                <w:sz w:val="20"/>
              </w:rPr>
              <w:t>Host-supplier dependence &amp; knowledge lock-in</w:t>
            </w:r>
          </w:p>
        </w:tc>
        <w:tc>
          <w:tcPr>
            <w:tcW w:type="dxa" w:w="2592"/>
          </w:tcPr>
          <w:p>
            <w:pPr>
              <w:spacing w:line="240" w:lineRule="auto"/>
            </w:pPr>
            <w:r>
              <w:rPr>
                <w:sz w:val="20"/>
              </w:rPr>
              <w:t>Pedroletti (2025); Li et al. (2025)</w:t>
            </w:r>
          </w:p>
        </w:tc>
        <w:tc>
          <w:tcPr>
            <w:tcW w:type="dxa" w:w="2592"/>
          </w:tcPr>
          <w:p>
            <w:pPr>
              <w:spacing w:line="240" w:lineRule="auto"/>
            </w:pPr>
            <w:r>
              <w:rPr>
                <w:sz w:val="20"/>
              </w:rPr>
              <w:t>Wiesmann et al. (2017); Bilbao-Ubillos et al. (2024)</w:t>
            </w:r>
          </w:p>
        </w:tc>
        <w:tc>
          <w:tcPr>
            <w:tcW w:type="dxa" w:w="2592"/>
          </w:tcPr>
          <w:p>
            <w:pPr>
              <w:spacing w:line="240" w:lineRule="auto"/>
            </w:pPr>
            <w:r>
              <w:rPr>
                <w:sz w:val="20"/>
              </w:rPr>
              <w:t>Gupta et al. (2023)</w:t>
            </w:r>
          </w:p>
        </w:tc>
        <w:tc>
          <w:tcPr>
            <w:tcW w:type="dxa" w:w="2592"/>
          </w:tcPr>
          <w:p>
            <w:pPr>
              <w:spacing w:line="240" w:lineRule="auto"/>
            </w:pPr>
            <w:r>
              <w:rPr>
                <w:sz w:val="20"/>
              </w:rPr>
              <w:t>Yes — Pedroletti (single China→Italy case); others general</w:t>
            </w:r>
          </w:p>
        </w:tc>
      </w:tr>
      <w:tr>
        <w:tc>
          <w:tcPr>
            <w:tcW w:type="dxa" w:w="2592"/>
          </w:tcPr>
          <w:p>
            <w:pPr>
              <w:spacing w:line="240" w:lineRule="auto"/>
            </w:pPr>
            <w:r>
              <w:rPr>
                <w:sz w:val="20"/>
              </w:rPr>
              <w:t>GVC stickiness / offshore sunk-cost inertia</w:t>
            </w:r>
          </w:p>
        </w:tc>
        <w:tc>
          <w:tcPr>
            <w:tcW w:type="dxa" w:w="2592"/>
          </w:tcPr>
          <w:p>
            <w:pPr>
              <w:spacing w:line="240" w:lineRule="auto"/>
            </w:pPr>
            <w:r>
              <w:rPr>
                <w:sz w:val="20"/>
              </w:rPr>
              <w:t>—</w:t>
            </w:r>
          </w:p>
        </w:tc>
        <w:tc>
          <w:tcPr>
            <w:tcW w:type="dxa" w:w="2592"/>
          </w:tcPr>
          <w:p>
            <w:pPr>
              <w:spacing w:line="240" w:lineRule="auto"/>
            </w:pPr>
            <w:r>
              <w:rPr>
                <w:sz w:val="20"/>
              </w:rPr>
              <w:t>Bilbao-Ubillos et al. (2024)</w:t>
            </w:r>
          </w:p>
        </w:tc>
        <w:tc>
          <w:tcPr>
            <w:tcW w:type="dxa" w:w="2592"/>
          </w:tcPr>
          <w:p>
            <w:pPr>
              <w:spacing w:line="240" w:lineRule="auto"/>
            </w:pPr>
            <w:r>
              <w:rPr>
                <w:sz w:val="20"/>
              </w:rPr>
              <w:t>D'Ambrosio &amp; Lavoratori (2025)</w:t>
            </w:r>
          </w:p>
        </w:tc>
        <w:tc>
          <w:tcPr>
            <w:tcW w:type="dxa" w:w="2592"/>
          </w:tcPr>
          <w:p>
            <w:pPr>
              <w:spacing w:line="240" w:lineRule="auto"/>
            </w:pPr>
            <w:r>
              <w:rPr>
                <w:sz w:val="20"/>
              </w:rPr>
              <w:t>No</w:t>
            </w:r>
          </w:p>
        </w:tc>
      </w:tr>
      <w:tr>
        <w:tc>
          <w:tcPr>
            <w:tcW w:type="dxa" w:w="2592"/>
          </w:tcPr>
          <w:p>
            <w:pPr>
              <w:spacing w:line="240" w:lineRule="auto"/>
            </w:pPr>
            <w:r>
              <w:rPr>
                <w:sz w:val="20"/>
              </w:rPr>
              <w:t>Regional ecosystem readiness</w:t>
            </w:r>
          </w:p>
        </w:tc>
        <w:tc>
          <w:tcPr>
            <w:tcW w:type="dxa" w:w="2592"/>
          </w:tcPr>
          <w:p>
            <w:pPr>
              <w:spacing w:line="240" w:lineRule="auto"/>
            </w:pPr>
            <w:r>
              <w:rPr>
                <w:sz w:val="20"/>
              </w:rPr>
              <w:t>Pegoraro et al. (2022)</w:t>
            </w:r>
          </w:p>
        </w:tc>
        <w:tc>
          <w:tcPr>
            <w:tcW w:type="dxa" w:w="2592"/>
          </w:tcPr>
          <w:p>
            <w:pPr>
              <w:spacing w:line="240" w:lineRule="auto"/>
            </w:pPr>
            <w:r>
              <w:rPr>
                <w:sz w:val="20"/>
              </w:rPr>
              <w:t>Bilbao-Ubillos et al. (2024)</w:t>
            </w:r>
          </w:p>
        </w:tc>
        <w:tc>
          <w:tcPr>
            <w:tcW w:type="dxa" w:w="2592"/>
          </w:tcPr>
          <w:p>
            <w:pPr>
              <w:spacing w:line="240" w:lineRule="auto"/>
            </w:pPr>
            <w:r>
              <w:rPr>
                <w:sz w:val="20"/>
              </w:rPr>
              <w:t>—</w:t>
            </w:r>
          </w:p>
        </w:tc>
        <w:tc>
          <w:tcPr>
            <w:tcW w:type="dxa" w:w="2592"/>
          </w:tcPr>
          <w:p>
            <w:pPr>
              <w:spacing w:line="240" w:lineRule="auto"/>
            </w:pPr>
            <w:r>
              <w:rPr>
                <w:sz w:val="20"/>
              </w:rPr>
              <w:t>Yes — Pegoraro et al. (single case)</w:t>
            </w:r>
          </w:p>
        </w:tc>
      </w:tr>
    </w:tbl>
    <w:p>
      <w:pPr>
        <w:sectPr>
          <w:pgSz w:w="15840" w:h="12240" w:orient="landscape"/>
          <w:pgMar w:top="1440" w:right="1440" w:bottom="1440" w:left="1440" w:header="720" w:footer="720" w:gutter="0"/>
          <w:cols w:space="720"/>
          <w:docGrid w:linePitch="360"/>
        </w:sectPr>
      </w:pP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reshoring, in place of a full return, functioned as a response to the practical impossibility of fully replacing the Chinese network. The gap concerned this specific, specialised capability, not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Taken together,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Chapter 5 interprets these findings.</w:t>
      </w:r>
    </w:p>
    <w:p>
      <w:r>
        <w:br w:type="page"/>
      </w:r>
    </w:p>
    <w:p>
      <w:pPr>
        <w:pStyle w:val="Heading1"/>
      </w:pPr>
      <w:r>
        <w:t>5 Discussion</w:t>
      </w:r>
    </w:p>
    <w:p>
      <w:r>
        <w:t>This chapter interprets the eighteen barrier themes reported in Chapter 4: what they mean for firms returning production from Asian host countries, how they reinforce one another, and what follows from them theoretically and managerially. Throughout, interpretations developed by this thesis are distinguished from findings stated by the original studies, and direct implementation evidence carries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do not operate independently — they interact.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not Asia, so this interpretation describes a general implementation mechanism, not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points to under-observation more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evidence-based considerations, not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reflects one case's experience, not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not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and without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r>
        <w:br w:type="page"/>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(Pegoraro et al., 2022). Closely linked to this is dependence on specialised host-country suppliers, which in the documented case evidence constrained not only how a return was carried out but how much of it was possible at all (Pedroletti, 2025). These capability-side difficulties are compounded by underestimated operational adjustments and organisational readiness gaps (Boffelli et al., 2021), by the new fixed and coordination costs that a return generates, and, less visibly but persistently, by host-country exit constraints such as layoff regulations and closure obligations (Li et al., 2025).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not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(Pegoraro et al., 2022; Pedroletti, 2025). The framework is therefore best understood as a structured map of what the current literature shows — not a ranking of universal obstacles, and not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r>
        <w:br w:type="page"/>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r>
        <w:br w:type="page"/>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