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600"/>
        <w:jc w:val="center"/>
      </w:pPr>
      <w:r>
        <w:rPr>
          <w:b/>
          <w:sz w:val="32"/>
        </w:rPr>
        <w:t>BACHELOR THESIS</w:t>
      </w:r>
    </w:p>
    <w:p>
      <w:pPr>
        <w:spacing w:before="0" w:after="200"/>
        <w:jc w:val="center"/>
      </w:pPr>
      <w:r>
        <w:rPr>
          <w:b w:val="0"/>
          <w:sz w:val="24"/>
        </w:rPr>
        <w:t>Title of the Bachelor‘s Thesis</w:t>
      </w:r>
    </w:p>
    <w:p>
      <w:pPr>
        <w:spacing w:before="0" w:after="0"/>
        <w:jc w:val="center"/>
      </w:pPr>
      <w:r>
        <w:rPr>
          <w:b/>
          <w:sz w:val="28"/>
        </w:rPr>
        <w:t>BARRIERS TO RESHORING FROM ASIAN MARKETS:</w:t>
      </w:r>
    </w:p>
    <w:p>
      <w:pPr>
        <w:spacing w:before="0" w:after="800"/>
        <w:jc w:val="center"/>
      </w:pPr>
      <w:r>
        <w:rPr>
          <w:b/>
          <w:sz w:val="28"/>
        </w:rPr>
        <w:t>A SYSTEMATIC LITERATURE REVIEW</w:t>
      </w:r>
    </w:p>
    <w:p>
      <w:pPr>
        <w:spacing w:before="0" w:after="120"/>
        <w:jc w:val="center"/>
      </w:pPr>
      <w:r>
        <w:rPr>
          <w:b w:val="0"/>
          <w:sz w:val="24"/>
        </w:rPr>
        <w:t>verfasst von / submitted by</w:t>
      </w:r>
    </w:p>
    <w:p>
      <w:pPr>
        <w:spacing w:before="0" w:after="0"/>
        <w:jc w:val="center"/>
      </w:pPr>
      <w:r>
        <w:rPr>
          <w:b/>
          <w:sz w:val="24"/>
        </w:rPr>
        <w:t>Serdiuk Aleksandra</w:t>
      </w:r>
    </w:p>
    <w:p>
      <w:pPr>
        <w:spacing w:before="0" w:after="800"/>
        <w:jc w:val="center"/>
      </w:pPr>
      <w:r>
        <w:rPr>
          <w:b w:val="0"/>
          <w:sz w:val="24"/>
        </w:rPr>
        <w:t>12045860</w:t>
      </w:r>
    </w:p>
    <w:p>
      <w:pPr>
        <w:spacing w:before="0" w:after="800"/>
        <w:jc w:val="center"/>
      </w:pPr>
      <w:r>
        <w:rPr>
          <w:b w:val="0"/>
          <w:sz w:val="24"/>
        </w:rPr>
        <w:t>Vienna, July 2026</w:t>
      </w:r>
    </w:p>
    <w:p>
      <w:pPr>
        <w:spacing w:before="0" w:after="80"/>
        <w:jc w:val="center"/>
      </w:pPr>
      <w:r>
        <w:rPr>
          <w:b w:val="0"/>
          <w:sz w:val="22"/>
        </w:rPr>
        <w:t>Studienrichtung lt. Studienblatt / degree programme as it appears on the student record sheet:</w:t>
      </w:r>
    </w:p>
    <w:p>
      <w:pPr>
        <w:spacing w:before="0" w:after="400"/>
        <w:jc w:val="center"/>
      </w:pPr>
      <w:r>
        <w:rPr>
          <w:b w:val="0"/>
          <w:sz w:val="24"/>
        </w:rPr>
        <w:t>Bachelorstudium Internationale Betriebswirtschaft</w:t>
      </w:r>
    </w:p>
    <w:p>
      <w:pPr>
        <w:spacing w:before="0" w:after="120"/>
        <w:jc w:val="center"/>
      </w:pPr>
      <w:r>
        <w:rPr>
          <w:b w:val="0"/>
          <w:sz w:val="24"/>
        </w:rPr>
        <w:t>Betreut von / Supervisor: Dr. Aveed Raha</w:t>
      </w:r>
    </w:p>
    <w:p>
      <w:r>
        <w:br w:type="page"/>
      </w:r>
    </w:p>
    <w:p>
      <w:pPr>
        <w:pStyle w:val="Heading1"/>
      </w:pPr>
      <w:r>
        <w:t>Acknowledgments</w:t>
      </w:r>
    </w:p>
    <w:p>
      <w:r>
        <w:t>I would like to thank my supervisor, [Supervisor's name], for the guidance and constructive feedback provided throughout the development of this thesis. I am also grateful to [Institution or programme] for the academic foundation on which this work builds. Finally, I wish to thank [Family member or friend] for their patience and encouragement during the months in which this thesis was written. Any remaining errors are my own.</w:t>
      </w:r>
    </w:p>
    <w:p>
      <w:r>
        <w:br w:type="page"/>
      </w:r>
    </w:p>
    <w:p>
      <w:pPr>
        <w:pStyle w:val="Heading1"/>
      </w:pPr>
      <w:r>
        <w:t>Abstract</w:t>
      </w:r>
    </w:p>
    <w:p>
      <w:r>
        <w:t>International manufacturing has been shaped by decades of offshoring to Asian host countries, yet changing risk conditions have renewed interest in returning production home. While the reasons why firms consider reshoring are well documented, far less is known about the difficulties they face when they attempt to carry it out. This thesis asks what central barriers manufacturing firms face when implementing reshoring strategies from Asian markets. It uses a systematic literature review of an analytical sample comprising twenty-one peer-reviewed studies to identify eighteen barrier themes, organised into a firm-level framework of four categories: regulatory/institutional, cultural/organisational, cost/operational, and asset/capability barriers. The findings indicate that the most broadly supported barriers concern the reconstruction of domestic capability — skills, machinery, and supplier ecosystems — together with dependence on specialised host-country suppliers, underestimated operational adjustments, and host-country exit constraints. Interpreted through Transaction Cost Economics and the Resource-Based View, these barriers reflect the costs of dismantling committed offshore arrangements and the difficulty of rebuilding eroded resources at home. The thesis derives stage-based managerial implications, from capability audits and exit due diligence to phased returns and workforce development.</w:t>
      </w:r>
    </w:p>
    <w:p>
      <w:r>
        <w:br w:type="page"/>
      </w:r>
    </w:p>
    <w:p>
      <w:pPr>
        <w:pStyle w:val="Heading1"/>
      </w:pPr>
      <w:r>
        <w:t>Table of Contents</w:t>
      </w:r>
    </w:p>
    <w:p>
      <w:fldSimple w:instr="TOC \o &quot;1-3&quot; \h \z \u">
        <w:r>
          <w:t>Right-click and choose "Update Field" to generate the Table of Contents.</w:t>
        </w:r>
      </w:fldSimple>
    </w:p>
    <w:p>
      <w:r>
        <w:br w:type="page"/>
      </w:r>
    </w:p>
    <w:p>
      <w:pPr>
        <w:pStyle w:val="Heading1"/>
      </w:pPr>
      <w:r>
        <w:t>1 Introduction</w:t>
      </w:r>
    </w:p>
    <w:p>
      <w:r>
        <w:t>The location of manufacturing abroad is one of the most debated issues in international business. Following several decades in which firms moved production to Asian host countries, an increasing number of manufacturers are considering, announcing, or attempting the opposite movement: reshoring, the return of previously offshored manufacturing activities from an Asian host country to the firm's home country (Barbieri et al., 2020). Macro-level evidence shows that relocation has long run in both directions, with offshoring and return movements occurring in parallel (Gao et al., 2022). The motives behind such returns have been explored in detail, but much less is known about what happens when companies actually try to make the move (Ocicka, 2016; Pedroletti &amp; Ciabuschi, 2023). This thesis addresses that question by systematically reviewing the literature on the barriers that manufacturing firms encounter when implementing reshoring strategies from Asian markets.</w:t>
      </w:r>
    </w:p>
    <w:p>
      <w:pPr>
        <w:pStyle w:val="Heading2"/>
      </w:pPr>
      <w:r>
        <w:t>1.1 Background of the Study</w:t>
      </w:r>
    </w:p>
    <w:p>
      <w:r>
        <w:t>In recent decades, manufacturing companies in Europe and North America have delocalised their production to Asia, where they can access cheaper factors of production, and China has emerged as a hub for global manufacturing networks (Xing et al., 2024; Yang, 2016). But this location pattern has never been static. At the macro level, there is evidence of offshoring, reshoring and re-offshoring happening simultaneously, with production activities moving from one country to another and from one industry to another in the years since the global financial crisis (Gao et al., 2022). Reshoring also appears more often in capital- and technology-intensive manufacturing than in labour-intensive industries (Gao et al., 2022). Within Asia, the increase in production costs in China has led to the shift of labour-intensive manufacturing to Southeast Asian countries (Yang, 2016). This intra-Asian relocation is an example of pressure on existing manufacturing configurations, but it is not reshoring, because production that moves from China to Vietnam is still offshore from the perspective of the firm's home country (Tsai &amp; Urmetzer, 2024).</w:t>
      </w:r>
    </w:p>
    <w:p>
      <w:r>
        <w:t>The risk landscape of Asian manufacturing has also shifted. Geoeconomic fragmentation and trade tensions have led to concerns about supply-chain vulnerability, yet reliance on Chinese inputs has remained entrenched, and value chains have often been rerouted through third countries instead of being eliminated (McCully &amp; Simola, 2024). Part of this reconfiguration has been through substitution, as other Asian economies have assumed some of the production steps previously concentrated in China (Xing et al., 2024). COVID-19 served as an additional catalyst, accelerating reshoring plans that companies had previously postponed (Barbieri et al., 2020). It also sparked a political and academic discussion on reindustrialisation and the return of manufacturing to home markets in Europe (Somoza Medina, 2022). These developments have led to a change in the way location decisions are made, moving from a cost-based calculation to an assessment of risk, resilience and control (Barbieri et al., 2020).</w:t>
      </w:r>
    </w:p>
    <w:p>
      <w:r>
        <w:t>In this context, reshoring has gained more and more attention from companies, policymakers and academics (Barbieri et al., 2020; Pedroletti &amp; Ciabuschi, 2023). Some home countries have actively promoted the return of manufacturing, including the United States (Bolter &amp; Robey, 2020). Recent survey evidence shows that reshoring decisions are related to Industry 4.0 adoption, pandemic experiences, and made-in effects (Stentoft et al., 2025), and firm-level research indicates that the probability of reshoring is affected by home-country conditions (Wan et al., 2019). But a strong strategic argument for bringing production back does not imply that a firm has the resources and capabilities to make the move. Implementation may involve the firm having to re-establish manufacturing facilities, skills, and supplier networks in the home country. As mentioned in the literature, these implementation issues have been given much less attention than the reshoring decision itself (Ocicka, 2016; Pedroletti &amp; Ciabuschi, 2023). Barriers to implementation are a relevant and timely object of study, as many practical difficulties emerge during the implementation stage (Boffelli et al., 2021).</w:t>
      </w:r>
    </w:p>
    <w:p>
      <w:pPr>
        <w:pStyle w:val="Heading2"/>
      </w:pPr>
      <w:r>
        <w:t>1.2 Research Problem and Questions</w:t>
      </w:r>
    </w:p>
    <w:p>
      <w:r>
        <w:t>The literature on reshoring has been mainly concerned with drivers, or the motives that may lead firms to reshoring (Pedroletti &amp; Ciabuschi, 2023; Wiesmann et al., 2017). Less attention has been paid to the implementation side of reshoring, that is, the challenges faced by a firm when it prepares, transfers, rebuilds, integrates and stabilises production at home (Ocicka, 2016; Pedroletti &amp; Ciabuschi, 2023). Moreover, the literature does not often focus on the particular context of firms reshoring from Asian host countries, despite the fact that Asia is a key source region for reshoring and a large offshore manufacturing region (Gao et al., 2022). The review therefore differentiates between general reshoring evidence and evidence that can be directly attributed to an Asian host country, as many studies do not disaggregate their findings by host region.</w:t>
      </w:r>
    </w:p>
    <w:p>
      <w:r>
        <w:t>As a result, no firm-level synthesis specifically on the barriers faced by manufacturing firms when implementing reshoring from Asian markets exists. This thesis aims to fill this research gap by systematically reviewing and synthesising the literature.</w:t>
      </w:r>
    </w:p>
    <w:p>
      <w:r>
        <w:t>The study is guided by the following core research question:</w:t>
      </w:r>
    </w:p>
    <w:p>
      <w:r>
        <w:rPr>
          <w:b/>
        </w:rPr>
        <w:t>RQ:</w:t>
      </w:r>
      <w:r>
        <w:t xml:space="preserve"> What central barriers do manufacturing firms face when implementing reshoring strategies from Asian markets?</w:t>
      </w:r>
    </w:p>
    <w:p>
      <w:r>
        <w:t>Two sub-questions specify the analysis:</w:t>
      </w:r>
    </w:p>
    <w:p>
      <w:r>
        <w:rPr>
          <w:b/>
        </w:rPr>
        <w:t>SQ1:</w:t>
      </w:r>
      <w:r>
        <w:t xml:space="preserve"> How can the identified reshoring barriers be categorized into a systematic firm-level framework?</w:t>
      </w:r>
    </w:p>
    <w:p>
      <w:r>
        <w:rPr>
          <w:b/>
        </w:rPr>
        <w:t>SQ2:</w:t>
      </w:r>
      <w:r>
        <w:t xml:space="preserve"> What are the managerial implications for international businesses to mitigate these corporate barriers?</w:t>
      </w:r>
    </w:p>
    <w:p>
      <w:pPr>
        <w:pStyle w:val="Heading2"/>
      </w:pPr>
      <w:r>
        <w:t>1.3 Objectives of the Study</w:t>
      </w:r>
    </w:p>
    <w:p>
      <w:r>
        <w:t>The study aims to achieve four objectives which are directly related to the research questions. First, it seeks to determine the main obstacles faced by manufacturing companies in the process of reshoring from Asian markets, as reported in the peer-reviewed literature. The thesis does not gather primary data from interviews, surveys or company observations. Rather, it uses a systematic literature review to identify, appraise and combine the academic evidence.</w:t>
      </w:r>
    </w:p>
    <w:p>
      <w:r>
        <w:t>Second, the study seeks to categorise the identified barriers in a systematic firm-level framework. The barriers are divided into four categories: regulatory/institutional barriers, cultural/organisational barriers, cost/operational barriers and asset/capability barriers. This categorisation aims to bring together findings that are spread out across studies and to provide a better understanding of how the various barriers affect the implementation of reshoring.</w:t>
      </w:r>
    </w:p>
    <w:p>
      <w:r>
        <w:t>Third, the identified barriers are interpreted based on two existing theories: Transaction Cost Economics and the Resource-Based View. Transaction Cost Economics is applied to analyse the costs and constraints of exiting existing offshore arrangements, and the Resource-Based View is applied to analyse the capabilities, resources, skills and supplier relationships needed to re-establish manufacturing activities in the home country.</w:t>
      </w:r>
    </w:p>
    <w:p>
      <w:r>
        <w:t>Lastly, managerial implications are drawn for international businesses that are considering or are in the process of reshoring from Asian markets. The implications are designed to help companies foresee, evaluate and address implementation challenges before and during the move.</w:t>
      </w:r>
    </w:p>
    <w:p>
      <w:r>
        <w:t>The remainder of the thesis proceeds from this starting point: Chapter 2 reviews the relevant literature and theoretical foundations, Chapter 3 describes the systematic review methodology, Chapter 4 reports the identified barriers, Chapter 5 interprets them and derives managerial implications, and Chapter 6 concludes.</w:t>
      </w:r>
    </w:p>
    <w:p>
      <w:r>
        <w:br w:type="page"/>
      </w:r>
    </w:p>
    <w:p>
      <w:pPr>
        <w:pStyle w:val="Heading1"/>
      </w:pPr>
      <w:r>
        <w:t>2 Literature Review</w:t>
      </w:r>
    </w:p>
    <w:p>
      <w:r>
        <w:t>This chapter establishes the conceptual and theoretical background of the study: what reshoring is and is not, the two theoretical lenses used to interpret the findings, the difference between the drivers of reshoring and the barriers to its implementation, and the gap in current knowledge that the thesis addresses.</w:t>
      </w:r>
    </w:p>
    <w:p>
      <w:pPr>
        <w:pStyle w:val="Heading2"/>
      </w:pPr>
      <w:r>
        <w:t>2.1 Defining Reshoring and Distinguishing Related Relocation Forms</w:t>
      </w:r>
    </w:p>
    <w:p>
      <w:r>
        <w:t>Research on manufacturing relocation has long been characterised by inconsistent terminology. Tsai and Urmetzer (2024), reviewing 158 studies on manufacturing relocation, note that concepts such as offshoring, reshoring, backshoring, and nearshoring have been used with conflicting meanings across industrial and regional contexts, and they consolidate the field into a single decisional framework in which reshoring serves as an umbrella term covering both relocation to the home country and relocation to a proximate country. This thesis adopts a deliberately narrower definition: reshoring is understood as the return of previously offshored manufacturing activities from an Asian host country to the firm's home country. Ocicka (2016) similarly characterises reshoring as the reversal of a prior offshoring decision, a definition that usefully emphasises two constitutive elements — there must have been an initial offshoring movement, and the activity must return home rather than merely move elsewhere.</w:t>
      </w:r>
    </w:p>
    <w:p>
      <w:r>
        <w:t>The narrower definition matters because several relocation patterns that superficially resemble reshoring fall outside it. Relocation from one foreign host to another — for instance from China to a lower-cost Asian country — leaves production offshore from the home country's perspective and therefore constitutes re-offshoring or diversification rather than reshoring; nearshoring, in which production moves to a country closer to home without returning, is likewise excluded. These distinctions follow the terminology consolidated in the relocation literature (Tsai &amp; Urmetzer, 2024). Macro-level evidence indicates that these movements coexist: analyses of global manufacturing location between 2007 and 2014 document offshoring, reshoring, and re-offshoring occurring in parallel across countries and industries (Gao et al., 2022). Treating all of these patterns as reshoring would blur the phenomenon this thesis investigates, namely the specific difficulties of bringing production home.</w:t>
      </w:r>
    </w:p>
    <w:p>
      <w:r>
        <w:t>Beyond definition, recent research increasingly conceptualises reshoring as a process, not a single decision. Pedroletti and Ciabuschi (2023) organise the literature into five sequential themes — antecedents, contingencies, decision, implementation, and outcome — and propose a research agenda for each. This process view is foundational for the present study, because it makes implementation visible as a distinct stage that begins after the decision to reshore has been taken and that carries its own difficulties.</w:t>
      </w:r>
    </w:p>
    <w:p>
      <w:pPr>
        <w:pStyle w:val="Heading2"/>
      </w:pPr>
      <w:r>
        <w:t>2.2 Theoretical Foundations: Transaction Cost Economics and the Resource-Based View</w:t>
      </w:r>
    </w:p>
    <w:p>
      <w:r>
        <w:t>The reshoring literature draws on a variety of theoretical approaches, with no single unified theory; Wiesmann et al. (2017) observe that there is currently no consensus on a "theory of reshoring" and survey the theories used in previous studies. The lenses of individual studies vary: Li et al. (2025) draw on Dunning's eclectic paradigm for their empirical analysis, Pedroletti (2025) uses a business-network perspective from internationalisation-process theory, and D'Ambrosio and Lavoratori (2025) build on trade-theoretic work on de-globalisation and global value chains. Against this plural background, this thesis adopts Transaction Cost Economics (TCE) and the Resource-Based View (RBV) as its two interpretive lenses, drawing on their original formulations (Williamson, 1985; Barney, 1991); where a reviewed study uses a different theory, that framing is reported as such.</w:t>
      </w:r>
    </w:p>
    <w:p>
      <w:r>
        <w:t>Transaction Cost Economics, as developed by Williamson (1985), directs attention to the costs of organising economic activity across firm and country boundaries, emphasising asset specificity, contractual safeguards, and the governance of exchange relationships. Williamson did not study reshoring; applying these concepts to the return of production is this thesis's own interpretation. From a TCE perspective, the exit side of implementation becomes visible: offshore arrangements embody committed investments and contractual obligations, and unwinding them carries real costs. Empirical findings consistent with this logic include strict host-country layoff regulations and locked investments that make a rapid exit difficult (Li et al., 2025), plant-closure fees and fiscal obligations reported in the review literature (Di Stefano &amp; Fratocchi, 2019), and the coordination burden that arises when production is split between home and host locations during a partial return (Pedroletti, 2025). Transaction-cost reasoning also points to hidden costs: Ocicka (2016) argues that sourcing decisions based on unit price alone systematically underestimate the total cost of offshore acquisition, and Boffelli et al. (2021) document how firms underestimate the operational adjustments that relocation requires.</w:t>
      </w:r>
    </w:p>
    <w:p>
      <w:r>
        <w:t>The Resource-Based View, grounded in Barney's (1991) argument that competitive advantage rests on resources that are valuable, rare, imperfectly imitable, and non-substitutable, sheds light on the arrival side of implementation; as with TCE, its application to reshoring is this thesis's own. Through an RBV lens, the firm appears as a collection of resources and capabilities, and reshoring succeeds only if the firm can rebuild or reacquire the productive resources — skills, machinery, routines, and supplier relationships — that the home operation requires. The reshoring literature repeatedly reports exactly such capability constraints: the erosion of domestic manufacturing competences and capacity after prolonged offshoring (Wiesmann et al., 2017), the scarcity of specialised manpower encountered by returning firms (Di Mauro et al., 2018), and the need to rebuild machinery, tooling, and workforce skills documented in case evidence (Pegoraro et al., 2022). Conceptual work complements this reading: D'Ambrosio and Lavoratori (2025) contend that reshoring confronts firms with new fixed costs and capability demands, while existing value chains remain "sticky" because of the resources invested in them. Taken together, the two lenses are complementary: Transaction Cost Economics explains why leaving the host country is costly, and the Resource-Based View explains why re-establishing production at home is demanding.</w:t>
      </w:r>
    </w:p>
    <w:p>
      <w:pPr>
        <w:pStyle w:val="Heading2"/>
      </w:pPr>
      <w:r>
        <w:t>2.3 Drivers of Reshoring versus Implementation Barriers</w:t>
      </w:r>
    </w:p>
    <w:p>
      <w:r>
        <w:t>A central conceptual distinction in this thesis separates the motivations for reshoring from the difficulties of carrying it out. The driver literature is relatively well developed (Wiesmann et al., 2017). Di Mauro et al. (2018) conclude that offshoring is mainly driven by cost reduction, whereas backshoring usually follows a strategic reorientation towards customer-perceived value, and they characterise the return as strategic evolution rather than the correction of a managerial mistake. Firm-level survey evidence links reshoring decisions to home-country conditions (Wan et al., 2019) and to Industry 4.0 adoption, pandemic experience, and made-in effects (Stentoft et al., 2025), and survey and case research has examined the relationship between digital-technology adoption and backshoring decisions (Kamp &amp; Gibaja, 2021). Case studies add brand-related motives: Robinson and Hsieh (2016) demonstrate how a luxury clothing company's repositioning around provenance and quality led to the consolidation of production in the home country. Problems with quality, coordination, and flexibility at offshore locations also appear as reasons for return (Di Mauro et al., 2018).</w:t>
      </w:r>
    </w:p>
    <w:p>
      <w:r>
        <w:t>Drivers, however, explain only why companies want to come back — not whether the return succeeds. As defined in this thesis, implementation barriers are the difficulties that occur when a firm prepares, transfers, rebuilds, integrates, and stabilises production at home after the reshoring decision has been made. The distinction is analytically important because factors prominent in the driver literature, such as rising foreign wages or supply-chain disruptions, are not implementation barriers unless the evidence indicates that they obstructed the implementation process itself. The clearest empirical demonstration that the two stages are distinct is provided by Boffelli et al. (2021), who examine mistakes in four relocation cases in the fashion industry and distinguish decision-making mistakes from implementation mistakes. Their key finding is that failures of relocation initiatives were directly linked to mistakes made in the implementation phase, leading to the conclusion that "doing things right" in implementation matters more than "doing the right thing" at the decision stage. The process framework of Pedroletti and Ciabuschi (2023) supports this separation at a conceptual level, treating implementation as a stage with its own contingencies and outcomes.</w:t>
      </w:r>
    </w:p>
    <w:p>
      <w:pPr>
        <w:pStyle w:val="Heading2"/>
      </w:pPr>
      <w:r>
        <w:t>2.4 Existing Knowledge on Reshoring Barriers and the Research Gap</w:t>
      </w:r>
    </w:p>
    <w:p>
      <w:r>
        <w:t>The most systematic early treatment of reshoring barriers is the literature review by Wiesmann et al. (2017), who categorise both drivers and barriers into five sets of dynamics: global competitive dynamics, home-country, host-country, supply-chain, and firm-specific factors. On the barrier side, the review notes the loss of access to production resources that were available offshore but are absent at home, shortages of skilled personnel in both the host and home countries, and weaknesses in home-country supplier capacity and networks. As a review, however, it aggregates results from very different primary studies, and its five-dynamics structure differs from the firm-level framework developed in this thesis.</w:t>
      </w:r>
    </w:p>
    <w:p>
      <w:r>
        <w:t>Later review work has extended the barrier discussion in specific directions. Di Stefano and Fratocchi (2019) explore the connection between backshoring and sustainability and show that environmental and social factors can act as drivers, outcomes, or barriers, including regulatory and social constraints on exiting the host country. Technology-readiness themes emerge from reviews at the intersection of reshoring and Industry 4.0 (Espíndola et al., 2023; Bilbao-Ubillos et al., 2024): digital technologies can make reshoring more attractive by reducing the importance of labour costs and increasing the value of proximity, but their deployment requires new technical skills, organisational adaptation, and investment. In a similar direction, Gupta et al. (2023) argue that Industry 4.0 plays a dual role, facilitating reshoring while introducing new capability demands. Conceptually, D'Ambrosio and Lavoratori (2025) integrate several of these strands, explaining the rarity of reshoring through the stickiness of existing value chains, the new fixed costs of domestic production, and firm-size differences — larger firms may prefer nearshoring or friendshoring, while smaller, constrained firms may reshore defensively "to survive." Empirical work on high-cost home environments shows that companies producing in their home countries face labour-cost pressure, skills shortages, supplier-network gaps, and internal organisational frictions (Mirzaei et al., 2021), conditions that any returning firm inherits.</w:t>
      </w:r>
    </w:p>
    <w:p>
      <w:r>
        <w:t>Three limitations of this body of knowledge define the research gap. The most basic is fragmentation: individual studies identify individual obstacles, but consolidated, firm-level syntheses focused specifically on implementation are rare, and the implementation stage remains under-researched compared with the reshoring decision (Ocicka, 2016; Pedroletti &amp; Ciabuschi, 2023). The evidence is also heterogeneous in kind — direct case observations, review-level aggregations, and conceptual arguments are often cited interchangeably, although they represent different forms of evidence and therefore require different interpretation. Most consequential for this thesis, the literature is rarely disaggregated in an Asia-specific way. Asia is the main offshore manufacturing destination, yet most studies report barriers at the sample level without distinguishing findings that concern the return from Asian host countries. Direct implementation evidence from identified Asia-to-home cases does exist — notably a China-to-UK case documenting skills, machinery, and ramp-up difficulties (Pegoraro et al., 2022) and a China-to-Italy case documenting supplier dependence and coordination burdens in a partial return (Pedroletti, 2025) — but such cases are few. The four categories used in this thesis — regulatory/institutional, cultural/organisational, cost/operational, and asset/capability barriers — are intended to bring this fragmented evidence together at the firm level while preserving the distinction between empirical, review, conceptual, and Asia-specific evidence.</w:t>
      </w:r>
    </w:p>
    <w:p>
      <w:r>
        <w:t>In short, the drivers of reshoring are well researched, but the barriers to carrying it out are not: the available barrier evidence is scattered across individual studies, mixed in kind, and rarely disaggregated for Asian host countries. The next chapter describes the systematic review through which this thesis consolidates that evidence.</w:t>
      </w:r>
    </w:p>
    <w:p>
      <w:r>
        <w:br w:type="page"/>
      </w:r>
    </w:p>
    <w:p>
      <w:pPr>
        <w:pStyle w:val="Heading1"/>
      </w:pPr>
      <w:r>
        <w:t>3 Research Methodology</w:t>
      </w:r>
    </w:p>
    <w:p>
      <w:r>
        <w:t>This chapter describes how the thesis was designed and carried out: why a systematic literature review is the appropriate method for the research questions, how the source material was collected, screened, and quality-assessed, and how the included evidence was analysed to produce the firm-level barrier framework. The chapter closes with the methodological limitations of the approach.</w:t>
      </w:r>
    </w:p>
    <w:p>
      <w:pPr>
        <w:pStyle w:val="Heading2"/>
      </w:pPr>
      <w:r>
        <w:t>3.1 Research Design</w:t>
      </w:r>
    </w:p>
    <w:p>
      <w:r>
        <w:t>The research method used in this thesis is a systematic literature review (SLR). The choice follows directly from the nature of the research question, which asks what barriers manufacturing firms face when implementing reshoring strategies from Asian markets, while the two sub-questions ask how these barriers can be categorised into a systematic firm-level framework and what managerial implications follow. Answering these questions does not require new primary observations, but rather a structured synthesis of evidence that already exists in dispersed form. A systematic review is appropriate for this purpose because it brings together the findings of the literature on a bounded question through explicit, documented, and reproducible procedures for searching, selecting, and analysing the literature (Snyder, 2019).</w:t>
      </w:r>
    </w:p>
    <w:p>
      <w:r>
        <w:t>According to Snyder (2019), a literature review can serve as a research methodology in its own right, and three review types can be distinguished — systematic, semi-systematic, and integrative — each suited to a different purpose. A systematic review is suitable for a question that is specific enough to be answered by identifying and evaluating a body of relevant studies according to predetermined criteria. The present research question is narrow and firm-level in focus, and a systematic design is therefore the most suitable of the three, despite the methodological heterogeneity of the underlying evidence. Snyder (2019) also outlines the review process in four phases — designing the review, conducting the review, analysis, and writing the review — and this sequence structures the remainder of the chapter. The framework is applied here as a general methodological justification and is complemented by dedicated reporting and synthesis guidance in the sections below.</w:t>
      </w:r>
    </w:p>
    <w:p>
      <w:r>
        <w:t>In keeping with this design, the thesis does not gather primary interview, survey, or company data; all evidence comes from previously published, peer-reviewed research. The contribution is therefore integrative: the review brings together findings from individual studies into a single firm-level framework of reshoring implementation barriers, in line with established review-based work in the reshoring field (Tsai &amp; Urmetzer, 2024). This design enables the study to answer the research questions directly while remaining transparent about the origin and strength of each piece of evidence.</w:t>
      </w:r>
    </w:p>
    <w:p>
      <w:pPr>
        <w:pStyle w:val="Heading2"/>
      </w:pPr>
      <w:r>
        <w:t>3.2 Data Collection Methods</w:t>
      </w:r>
    </w:p>
    <w:p>
      <w:r>
        <w:t>The literature search and selection were documented with reference to the PRISMA 2020 reporting guidelines (Page, McKenzie, et al., 2021; Page, Moher, et al., 2021), used here as a framework for reporting identification, screening, and inclusion rather than as a method of evidence synthesis. Google Scholar was the only literature-discovery platform used. The literature search began in late June 2026 and continued over several weeks, during which sources were identified through varying combinations of topic-related terms — reshoring, backshoring, manufacturing reshoring, reshoring barriers, reshoring implementation, and related terms concerning supplier dependence, capabilities, and production transfer — combined with backward and forward citation searching and Google Scholar's related-article suggestions. This process was exploratory, not tied to a fixed set of search strings, and it was not documented prospectively, so its exact strings and result counts are not reported. By early July, this process had produced the main body of literature used in this thesis.</w:t>
      </w:r>
    </w:p>
    <w:p>
      <w:r>
        <w:t>To improve the transparency of the search process, a final documented update search was carried out in Google Scholar on 15 July 2026. Three predefined strings were run, covering the main barrier terminology, Asia/China-specific terminology, and a title-restricted sweep, with each run logged as it happened — search date, exact string, results displayed, records screened, and exclusions with reasons. This was a check on the existing corpus, not the start of the literature search. Across the three strings, 102 records were screened; eleven matched sources already in the corpus. The rest were excluded, mainly because they addressed reshoring at a macro or policy level, concerned nearshoring rather than genuine reshoring, or were inaccessible or not peer-reviewed. No new source was added as a result. The PRISMA flow diagram in Appendix A reports this update search together with the full-text stage of the earlier search process.</w:t>
      </w:r>
    </w:p>
    <w:p>
      <w:r>
        <w:t>Duplicate records were removed, after which titles, abstracts, and available full texts were checked against the eligibility criteria. Google Scholar does not filter automatically by peer-review status, publication type, or language, so these were checked manually for every candidate source. Only English-language sources with accessible full texts were considered, and a source needed to be relevant to manufacturing reshoring and to satisfy the thesis's definition of reshoring to enter the formal analytical sample.</w:t>
      </w:r>
    </w:p>
    <w:p>
      <w:r>
        <w:t>To qualify for the formal analytical sample, a study had to concern genuine reshoring — the return of previously offshored manufacturing to the firm's home country. Studies addressing China+1 configurations, China-to-Southeast-Asia relocation, re-offshoring, nearshoring without a return home, or foreign-to-foreign relocation were excluded from barrier coding, since these are not genuine reshoring; a small number were kept as contextual sources for the Introduction and Discussion instead. Because implementation evidence in the literature is not always broken down by host region, Asia specificity was recorded as a rating for every source instead of being used as a strict inclusion filter, and only findings that explicitly link an Asian host location to a return home are reported as Asia-specific in the Results.</w:t>
      </w:r>
    </w:p>
    <w:p>
      <w:r>
        <w:t>The corpus consists of 34 sources. Twenty-one peer-reviewed reshoring studies form the formal analytical sample from which the barrier framework is developed. A further set of contextual and policy sources — covering, for example, macro-level relocation patterns and China+1 dynamics — supports the Introduction and Discussion but was excluded from barrier coding, since these sources describe the broader environment, not firm-level implementation. Five methodology sources justify the research design and the coding and synthesis procedures and likewise contribute no barrier evidence. The PRISMA diagram in Appendix A accordingly documents the 21 studies in the formal analytical sample only; methodology sources are not counted, and contextual sources are reported separately.</w:t>
      </w:r>
    </w:p>
    <w:p>
      <w:r>
        <w:t>Every source in the formal sample was also characterised along two dimensions. The first records the type of evidence it provides — direct case-based findings, findings drawn from a literature review, conceptual argument, contextual background, or methodological guidance — since these carry different evidential weight and are never treated as equivalent. The second is an Asia-specificity rating (high, medium, or low), assigned as high only when a source's data or case explicitly links an Asian host location to a return home. These two dimensions shaped how the evidence was interpreted and reported throughout the thesis, describing the relevance and type of each source without assessing its methodological quality. Screening and selection were carried out by a single researcher, which is noted here as a limitation.</w:t>
      </w:r>
    </w:p>
    <w:p>
      <w:pPr>
        <w:pStyle w:val="Heading2"/>
      </w:pPr>
      <w:r>
        <w:t>3.3 Data Analysis Techniques</w:t>
      </w:r>
    </w:p>
    <w:p>
      <w:r>
        <w:t>The included evidence was analysed through an adapted thematic synthesis based on Thomas and Harden (2008), who set out a transparent three-stage procedure for synthesising findings across studies. In the first stage, relevant findings reported in the included studies were coded at the level of meaningful evidence segments. In the second stage, conceptually similar codes were clustered into descriptive themes that stayed close to the content of the primary studies. In the third stage, the descriptive themes were interpreted to produce higher-order analytical themes that address the research questions and go beyond what any single study states in isolation. A key strength of this procedure is that it maintains an auditable trail from the review's conclusions back to the original text of the primary studies, so that each analytical theme can be traced through the descriptive themes to the coded evidence.</w:t>
      </w:r>
    </w:p>
    <w:p>
      <w:r>
        <w:t>The coding itself followed a hybrid deductive–inductive logic, for which Mayring (2014) provides the methodological foundation. Mayring (2014) treats qualitative content analysis as a systematic, rule-governed procedure in which deductive category application and inductive category development are complementary rather than mutually exclusive. Following this logic, the four organising categories of the thesis framework — regulatory/institutional, cultural/organisational, cost/operational, and asset/capability — were derived deductively from the theoretical framework and the research questions and applied as an a priori coding frame. The more specific barrier themes within each category were then developed inductively from the included studies, and category boundaries were adjusted where the a priori frame did not fully capture the coded material. This resulted in a set of barrier themes nested within the four deductive categories.</w:t>
      </w:r>
    </w:p>
    <w:p>
      <w:r>
        <w:t>Two coding rules protected the integrity of the synthesis. First, in line with the corpus's own decision rule, the three evidence types — direct empirical findings from a study's own data, findings reported through a literature review, and barriers argued on conceptual grounds — were coded and reported separately and never summed into a single frequency count, because a survey result, a review finding, and a conceptual argument do not carry equivalent evidential weight. Second, drivers and implementation barriers were kept strictly distinct: only difficulties in preparing, transferring, rebuilding, integrating, or stabilising production at home were coded as implementation barriers, while motives for considering reshoring — such as geopolitical tensions, rising Asian wages, or supply-chain disruptions — were not coded as barriers unless a study explicitly showed that they hindered the implementation process.</w:t>
      </w:r>
    </w:p>
    <w:p>
      <w:r>
        <w:t>Several methodological limitations follow from this design. As a secondary method, an SLR is constrained by the coverage, quality, and completeness of the published literature and by the risk of publication bias; it synthesises existing findings instead of observing reshoring directly. The reliance on a single discovery platform, the restriction to English-language sources with accessible full texts, and the retrospectively undocumented character of the original exploratory search introduce an additional accessibility bias that the documented update search mitigates but cannot remove. The corpus's own caution reinforces this point: because direct empirical, review, and conceptual evidence carry different weights, the strength of any barrier claim depends on the type of evidence behind it and cannot be inferred from how often the barrier is mentioned. Most importantly, genuinely Asia-specific direct implementation evidence rests on only a small number of cases — principally two single-case studies documenting returns from China — so Asia-specific findings are reported as illustrative, not generalisable, a constraint stated explicitly in the results and the limitations discussion.</w:t>
      </w:r>
    </w:p>
    <w:p>
      <w:r>
        <w:t>The next chapter reports the results of this synthesis: the barriers identified in the literature, organised within the four categories of the firm-level framework.</w:t>
      </w:r>
    </w:p>
    <w:p>
      <w:r>
        <w:br w:type="page"/>
      </w:r>
    </w:p>
    <w:p>
      <w:pPr>
        <w:pStyle w:val="Heading1"/>
      </w:pPr>
      <w:r>
        <w:t>4 Results</w:t>
      </w:r>
    </w:p>
    <w:p>
      <w:r>
        <w:t>This chapter reports the reshoring implementation barriers identified in the reviewed literature: first the evidence base on which the synthesis rests, then the findings category by category, ending with the asset/capability barriers, which carry the broadest support in the corpus.</w:t>
      </w:r>
    </w:p>
    <w:p>
      <w:pPr>
        <w:pStyle w:val="Heading2"/>
      </w:pPr>
      <w:r>
        <w:t>4.1 Overview of the Analytical Sample and Barrier Landscape</w:t>
      </w:r>
    </w:p>
    <w:p>
      <w:r>
        <w:t>The barrier synthesis draws on the 21-source formal analytical sample described in Chapter 3. Within that sample, fifteen sources contribute barrier evidence and are reported in this chapter; one further source (Tsai &amp; Urmetzer, 2024) belongs to the formal sample but serves terminology and framework purposes only and is not cited for any barrier finding. The synthesis organises the identified barriers into eighteen themes nested within the four categories of the firm-level framework, addressing the first sub-question of the thesis.</w:t>
      </w:r>
    </w:p>
    <w:p>
      <w:r>
        <w:t>The contributing evidence is of three distinct types. Direct empirical evidence comes from four core empirical studies (Boffelli et al., 2021; Li et al., 2025; Pegoraro et al., 2022; Pedroletti, 2025) and from two supporting empirical studies (Di Mauro et al., 2018; Mirzaei et al., 2021); a third supporting empirical study (Robinson &amp; Hsieh, 2016) contributes contextual evidence only. Literature-review evidence comes from six sources (Pedroletti &amp; Ciabuschi, 2023; Wiesmann et al., 2017; Espíndola et al., 2023; Di Stefano &amp; Fratocchi, 2019; Ocicka, 2016; Bilbao-Ubillos et al., 2024), and conceptual argument from two further sources (D'Ambrosio &amp; Lavoratori, 2025; Gupta et al., 2023). These types are reported separately in every section and are not aggregated into a single frequency, because a case observation, a review finding, and a conceptual argument do not carry equivalent evidential weight. Two of the core empirical studies (Pegoraro et al., 2022; Pedroletti, 2025) are single-case designs, and their findings are reported as individual cases rather than generalised.</w:t>
      </w:r>
    </w:p>
    <w:p>
      <w:r>
        <w:t>Genuinely Asia-specific direct implementation evidence is scarce. It rests on two single-case studies: a China-to-UK case (Pegoraro et al., 2022) and a China-to-Italy partial-reshoring case (Pedroletti, 2025). One multi-case study is partially attributable to an Asian host: in Di Mauro et al. (2018), two of the four case firms returned production from China, although the individual findings are not always attributed to those specific cases. The four fashion cases of Boffelli et al. (2021), by contrast, involved Romanian, Moroccan, Croatian, and Hungarian host locations, so that study's implementation findings enter the synthesis as general, not Asia-specific, evidence. The findings of Li et al. (2025) are likewise reported as general Nordic/Swedish evidence, with one exception noted in Section 4.2: the study explicitly names China among the host locations affected by strict layoff regulations.</w:t>
      </w:r>
    </w:p>
    <w:p>
      <w:r>
        <w:t>Table 1 summarises the eighteen themes, the evidence types behind each, and their Asia-specificity; the complete coding table cross-referencing every theme to its contributing sources is provided in Appendix B.</w:t>
      </w:r>
    </w:p>
    <w:p>
      <w:r>
        <w:rPr>
          <w:b/>
        </w:rPr>
        <w:t>Table 1.</w:t>
      </w:r>
      <w:r>
        <w:t xml:space="preserve"> </w:t>
      </w:r>
      <w:r>
        <w:rPr>
          <w:i/>
        </w:rPr>
        <w:t>The eighteen reshoring implementation-barrier themes by framework category, the evidence types available for each theme, and the Asia-specificity of the supporting evidence. Full source-by-source cross-references are given in Appendix B.</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b/>
                <w:sz w:val="20"/>
              </w:rPr>
              <w:t>Barrier theme</w:t>
            </w:r>
          </w:p>
        </w:tc>
        <w:tc>
          <w:tcPr>
            <w:tcW w:type="dxa" w:w="1560"/>
          </w:tcPr>
          <w:p>
            <w:pPr>
              <w:spacing w:line="240" w:lineRule="auto"/>
            </w:pPr>
            <w:r>
              <w:rPr>
                <w:b/>
                <w:sz w:val="20"/>
              </w:rPr>
              <w:t>Category</w:t>
            </w:r>
          </w:p>
        </w:tc>
        <w:tc>
          <w:tcPr>
            <w:tcW w:type="dxa" w:w="1560"/>
          </w:tcPr>
          <w:p>
            <w:pPr>
              <w:spacing w:line="240" w:lineRule="auto"/>
            </w:pPr>
            <w:r>
              <w:rPr>
                <w:b/>
                <w:sz w:val="20"/>
              </w:rPr>
              <w:t>Direct empirical</w:t>
            </w:r>
          </w:p>
        </w:tc>
        <w:tc>
          <w:tcPr>
            <w:tcW w:type="dxa" w:w="1560"/>
          </w:tcPr>
          <w:p>
            <w:pPr>
              <w:spacing w:line="240" w:lineRule="auto"/>
            </w:pPr>
            <w:r>
              <w:rPr>
                <w:b/>
                <w:sz w:val="20"/>
              </w:rPr>
              <w:t>Review</w:t>
            </w:r>
          </w:p>
        </w:tc>
        <w:tc>
          <w:tcPr>
            <w:tcW w:type="dxa" w:w="1560"/>
          </w:tcPr>
          <w:p>
            <w:pPr>
              <w:spacing w:line="240" w:lineRule="auto"/>
            </w:pPr>
            <w:r>
              <w:rPr>
                <w:b/>
                <w:sz w:val="20"/>
              </w:rPr>
              <w:t>Conceptual</w:t>
            </w:r>
          </w:p>
        </w:tc>
        <w:tc>
          <w:tcPr>
            <w:tcW w:type="dxa" w:w="1560"/>
          </w:tcPr>
          <w:p>
            <w:pPr>
              <w:spacing w:line="240" w:lineRule="auto"/>
            </w:pPr>
            <w:r>
              <w:rPr>
                <w:b/>
                <w:sz w:val="20"/>
              </w:rPr>
              <w:t>Asia-specific</w:t>
            </w:r>
          </w:p>
        </w:tc>
      </w:tr>
      <w:tr>
        <w:tc>
          <w:tcPr>
            <w:tcW w:type="dxa" w:w="1560"/>
          </w:tcPr>
          <w:p>
            <w:pPr>
              <w:spacing w:line="240" w:lineRule="auto"/>
            </w:pPr>
            <w:r>
              <w:rPr>
                <w:sz w:val="20"/>
              </w:rPr>
              <w:t>Host-country exit regulation</w:t>
            </w:r>
          </w:p>
        </w:tc>
        <w:tc>
          <w:tcPr>
            <w:tcW w:type="dxa" w:w="1560"/>
          </w:tcPr>
          <w:p>
            <w:pPr>
              <w:spacing w:line="240" w:lineRule="auto"/>
            </w:pPr>
            <w:r>
              <w:rPr>
                <w:sz w:val="20"/>
              </w:rPr>
              <w:t>Regulatory/Institutional</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Partial</w:t>
            </w:r>
          </w:p>
        </w:tc>
      </w:tr>
      <w:tr>
        <w:tc>
          <w:tcPr>
            <w:tcW w:type="dxa" w:w="1560"/>
          </w:tcPr>
          <w:p>
            <w:pPr>
              <w:spacing w:line="240" w:lineRule="auto"/>
            </w:pPr>
            <w:r>
              <w:rPr>
                <w:sz w:val="20"/>
              </w:rPr>
              <w:t>Social-responsibility &amp; workforce-resistance exit constraints</w:t>
            </w:r>
          </w:p>
        </w:tc>
        <w:tc>
          <w:tcPr>
            <w:tcW w:type="dxa" w:w="1560"/>
          </w:tcPr>
          <w:p>
            <w:pPr>
              <w:spacing w:line="240" w:lineRule="auto"/>
            </w:pPr>
            <w:r>
              <w:rPr>
                <w:sz w:val="20"/>
              </w:rPr>
              <w:t>Regulatory/Institutional</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No</w:t>
            </w:r>
          </w:p>
        </w:tc>
      </w:tr>
      <w:tr>
        <w:tc>
          <w:tcPr>
            <w:tcW w:type="dxa" w:w="1560"/>
          </w:tcPr>
          <w:p>
            <w:pPr>
              <w:spacing w:line="240" w:lineRule="auto"/>
            </w:pPr>
            <w:r>
              <w:rPr>
                <w:sz w:val="20"/>
              </w:rPr>
              <w:t>Home-country compliance burden &amp; institutional frictions</w:t>
            </w:r>
          </w:p>
        </w:tc>
        <w:tc>
          <w:tcPr>
            <w:tcW w:type="dxa" w:w="1560"/>
          </w:tcPr>
          <w:p>
            <w:pPr>
              <w:spacing w:line="240" w:lineRule="auto"/>
            </w:pPr>
            <w:r>
              <w:rPr>
                <w:sz w:val="20"/>
              </w:rPr>
              <w:t>Regulatory/Institutional</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No</w:t>
            </w:r>
          </w:p>
        </w:tc>
      </w:tr>
      <w:tr>
        <w:tc>
          <w:tcPr>
            <w:tcW w:type="dxa" w:w="1560"/>
          </w:tcPr>
          <w:p>
            <w:pPr>
              <w:spacing w:line="240" w:lineRule="auto"/>
            </w:pPr>
            <w:r>
              <w:rPr>
                <w:sz w:val="20"/>
              </w:rPr>
              <w:t>Organisational readiness, behavioural biases, learning-by-trial</w:t>
            </w:r>
          </w:p>
        </w:tc>
        <w:tc>
          <w:tcPr>
            <w:tcW w:type="dxa" w:w="1560"/>
          </w:tcPr>
          <w:p>
            <w:pPr>
              <w:spacing w:line="240" w:lineRule="auto"/>
            </w:pPr>
            <w:r>
              <w:rPr>
                <w:sz w:val="20"/>
              </w:rPr>
              <w:t>Cultural/Organisational</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No</w:t>
            </w:r>
          </w:p>
        </w:tc>
      </w:tr>
      <w:tr>
        <w:tc>
          <w:tcPr>
            <w:tcW w:type="dxa" w:w="1560"/>
          </w:tcPr>
          <w:p>
            <w:pPr>
              <w:spacing w:line="240" w:lineRule="auto"/>
            </w:pPr>
            <w:r>
              <w:rPr>
                <w:sz w:val="20"/>
              </w:rPr>
              <w:t>Intra-organisational silos &amp; weak employee involvement</w:t>
            </w:r>
          </w:p>
        </w:tc>
        <w:tc>
          <w:tcPr>
            <w:tcW w:type="dxa" w:w="1560"/>
          </w:tcPr>
          <w:p>
            <w:pPr>
              <w:spacing w:line="240" w:lineRule="auto"/>
            </w:pPr>
            <w:r>
              <w:rPr>
                <w:sz w:val="20"/>
              </w:rPr>
              <w:t>Cultural/Organisational</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No</w:t>
            </w:r>
          </w:p>
        </w:tc>
      </w:tr>
      <w:tr>
        <w:tc>
          <w:tcPr>
            <w:tcW w:type="dxa" w:w="1560"/>
          </w:tcPr>
          <w:p>
            <w:pPr>
              <w:spacing w:line="240" w:lineRule="auto"/>
            </w:pPr>
            <w:r>
              <w:rPr>
                <w:sz w:val="20"/>
              </w:rPr>
              <w:t>Adverse host-supplier relational response</w:t>
            </w:r>
          </w:p>
        </w:tc>
        <w:tc>
          <w:tcPr>
            <w:tcW w:type="dxa" w:w="1560"/>
          </w:tcPr>
          <w:p>
            <w:pPr>
              <w:spacing w:line="240" w:lineRule="auto"/>
            </w:pPr>
            <w:r>
              <w:rPr>
                <w:sz w:val="20"/>
              </w:rPr>
              <w:t>Cultural/Organisational</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Yes (single case)</w:t>
            </w:r>
          </w:p>
        </w:tc>
      </w:tr>
      <w:tr>
        <w:tc>
          <w:tcPr>
            <w:tcW w:type="dxa" w:w="1560"/>
          </w:tcPr>
          <w:p>
            <w:pPr>
              <w:spacing w:line="240" w:lineRule="auto"/>
            </w:pPr>
            <w:r>
              <w:rPr>
                <w:sz w:val="20"/>
              </w:rPr>
              <w:t>Governance mode of the return (gap)</w:t>
            </w:r>
          </w:p>
        </w:tc>
        <w:tc>
          <w:tcPr>
            <w:tcW w:type="dxa" w:w="1560"/>
          </w:tcPr>
          <w:p>
            <w:pPr>
              <w:spacing w:line="240" w:lineRule="auto"/>
            </w:pPr>
            <w:r>
              <w:rPr>
                <w:sz w:val="20"/>
              </w:rPr>
              <w:t>Cultural/Organisational</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No</w:t>
            </w:r>
          </w:p>
        </w:tc>
      </w:tr>
      <w:tr>
        <w:tc>
          <w:tcPr>
            <w:tcW w:type="dxa" w:w="1560"/>
          </w:tcPr>
          <w:p>
            <w:pPr>
              <w:spacing w:line="240" w:lineRule="auto"/>
            </w:pPr>
            <w:r>
              <w:rPr>
                <w:sz w:val="20"/>
              </w:rPr>
              <w:t>Digital/organisational adaptation burden</w:t>
            </w:r>
          </w:p>
        </w:tc>
        <w:tc>
          <w:tcPr>
            <w:tcW w:type="dxa" w:w="1560"/>
          </w:tcPr>
          <w:p>
            <w:pPr>
              <w:spacing w:line="240" w:lineRule="auto"/>
            </w:pPr>
            <w:r>
              <w:rPr>
                <w:sz w:val="20"/>
              </w:rPr>
              <w:t>Cultural/Organisational</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No</w:t>
            </w:r>
          </w:p>
        </w:tc>
      </w:tr>
      <w:tr>
        <w:tc>
          <w:tcPr>
            <w:tcW w:type="dxa" w:w="1560"/>
          </w:tcPr>
          <w:p>
            <w:pPr>
              <w:spacing w:line="240" w:lineRule="auto"/>
            </w:pPr>
            <w:r>
              <w:rPr>
                <w:sz w:val="20"/>
              </w:rPr>
              <w:t>Hollowed-out supply base / supplier-network rebuilding</w:t>
            </w:r>
          </w:p>
        </w:tc>
        <w:tc>
          <w:tcPr>
            <w:tcW w:type="dxa" w:w="1560"/>
          </w:tcPr>
          <w:p>
            <w:pPr>
              <w:spacing w:line="240" w:lineRule="auto"/>
            </w:pPr>
            <w:r>
              <w:rPr>
                <w:sz w:val="20"/>
              </w:rPr>
              <w:t>Cost/Operational</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Partial</w:t>
            </w:r>
          </w:p>
        </w:tc>
      </w:tr>
      <w:tr>
        <w:tc>
          <w:tcPr>
            <w:tcW w:type="dxa" w:w="1560"/>
          </w:tcPr>
          <w:p>
            <w:pPr>
              <w:spacing w:line="240" w:lineRule="auto"/>
            </w:pPr>
            <w:r>
              <w:rPr>
                <w:sz w:val="20"/>
              </w:rPr>
              <w:t>New fixed costs &amp; switching/reconfiguration costs</w:t>
            </w:r>
          </w:p>
        </w:tc>
        <w:tc>
          <w:tcPr>
            <w:tcW w:type="dxa" w:w="1560"/>
          </w:tcPr>
          <w:p>
            <w:pPr>
              <w:spacing w:line="240" w:lineRule="auto"/>
            </w:pPr>
            <w:r>
              <w:rPr>
                <w:sz w:val="20"/>
              </w:rPr>
              <w:t>Cost/Operational</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No</w:t>
            </w:r>
          </w:p>
        </w:tc>
      </w:tr>
      <w:tr>
        <w:tc>
          <w:tcPr>
            <w:tcW w:type="dxa" w:w="1560"/>
          </w:tcPr>
          <w:p>
            <w:pPr>
              <w:spacing w:line="240" w:lineRule="auto"/>
            </w:pPr>
            <w:r>
              <w:rPr>
                <w:sz w:val="20"/>
              </w:rPr>
              <w:t>High-cost home environment</w:t>
            </w:r>
          </w:p>
        </w:tc>
        <w:tc>
          <w:tcPr>
            <w:tcW w:type="dxa" w:w="1560"/>
          </w:tcPr>
          <w:p>
            <w:pPr>
              <w:spacing w:line="240" w:lineRule="auto"/>
            </w:pPr>
            <w:r>
              <w:rPr>
                <w:sz w:val="20"/>
              </w:rPr>
              <w:t>Cost/Operational</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No</w:t>
            </w:r>
          </w:p>
        </w:tc>
      </w:tr>
      <w:tr>
        <w:tc>
          <w:tcPr>
            <w:tcW w:type="dxa" w:w="1560"/>
          </w:tcPr>
          <w:p>
            <w:pPr>
              <w:spacing w:line="240" w:lineRule="auto"/>
            </w:pPr>
            <w:r>
              <w:rPr>
                <w:sz w:val="20"/>
              </w:rPr>
              <w:t>Hybrid-operation coordination complexity (partial reshoring)</w:t>
            </w:r>
          </w:p>
        </w:tc>
        <w:tc>
          <w:tcPr>
            <w:tcW w:type="dxa" w:w="1560"/>
          </w:tcPr>
          <w:p>
            <w:pPr>
              <w:spacing w:line="240" w:lineRule="auto"/>
            </w:pPr>
            <w:r>
              <w:rPr>
                <w:sz w:val="20"/>
              </w:rPr>
              <w:t>Cost/Operational</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Yes (single case)</w:t>
            </w:r>
          </w:p>
        </w:tc>
      </w:tr>
      <w:tr>
        <w:tc>
          <w:tcPr>
            <w:tcW w:type="dxa" w:w="1560"/>
          </w:tcPr>
          <w:p>
            <w:pPr>
              <w:spacing w:line="240" w:lineRule="auto"/>
            </w:pPr>
            <w:r>
              <w:rPr>
                <w:sz w:val="20"/>
              </w:rPr>
              <w:t>Underestimated operational adjustments</w:t>
            </w:r>
          </w:p>
        </w:tc>
        <w:tc>
          <w:tcPr>
            <w:tcW w:type="dxa" w:w="1560"/>
          </w:tcPr>
          <w:p>
            <w:pPr>
              <w:spacing w:line="240" w:lineRule="auto"/>
            </w:pPr>
            <w:r>
              <w:rPr>
                <w:sz w:val="20"/>
              </w:rPr>
              <w:t>Cost/Operational</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No</w:t>
            </w:r>
          </w:p>
        </w:tc>
      </w:tr>
      <w:tr>
        <w:tc>
          <w:tcPr>
            <w:tcW w:type="dxa" w:w="1560"/>
          </w:tcPr>
          <w:p>
            <w:pPr>
              <w:spacing w:line="240" w:lineRule="auto"/>
            </w:pPr>
            <w:r>
              <w:rPr>
                <w:sz w:val="20"/>
              </w:rPr>
              <w:t>Domestic skilled-labour &amp; competence gap</w:t>
            </w:r>
          </w:p>
        </w:tc>
        <w:tc>
          <w:tcPr>
            <w:tcW w:type="dxa" w:w="1560"/>
          </w:tcPr>
          <w:p>
            <w:pPr>
              <w:spacing w:line="240" w:lineRule="auto"/>
            </w:pPr>
            <w:r>
              <w:rPr>
                <w:sz w:val="20"/>
              </w:rPr>
              <w:t>Asset/Capability</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Yes (single case; others general)</w:t>
            </w:r>
          </w:p>
        </w:tc>
      </w:tr>
      <w:tr>
        <w:tc>
          <w:tcPr>
            <w:tcW w:type="dxa" w:w="1560"/>
          </w:tcPr>
          <w:p>
            <w:pPr>
              <w:spacing w:line="240" w:lineRule="auto"/>
            </w:pPr>
            <w:r>
              <w:rPr>
                <w:sz w:val="20"/>
              </w:rPr>
              <w:t>Domestic capacity, facilities &amp; machinery gap</w:t>
            </w:r>
          </w:p>
        </w:tc>
        <w:tc>
          <w:tcPr>
            <w:tcW w:type="dxa" w:w="1560"/>
          </w:tcPr>
          <w:p>
            <w:pPr>
              <w:spacing w:line="240" w:lineRule="auto"/>
            </w:pPr>
            <w:r>
              <w:rPr>
                <w:sz w:val="20"/>
              </w:rPr>
              <w:t>Asset/Capability</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Yes (single case)</w:t>
            </w:r>
          </w:p>
        </w:tc>
      </w:tr>
      <w:tr>
        <w:tc>
          <w:tcPr>
            <w:tcW w:type="dxa" w:w="1560"/>
          </w:tcPr>
          <w:p>
            <w:pPr>
              <w:spacing w:line="240" w:lineRule="auto"/>
            </w:pPr>
            <w:r>
              <w:rPr>
                <w:sz w:val="20"/>
              </w:rPr>
              <w:t>Host-supplier dependence &amp; knowledge lock-in</w:t>
            </w:r>
          </w:p>
        </w:tc>
        <w:tc>
          <w:tcPr>
            <w:tcW w:type="dxa" w:w="1560"/>
          </w:tcPr>
          <w:p>
            <w:pPr>
              <w:spacing w:line="240" w:lineRule="auto"/>
            </w:pPr>
            <w:r>
              <w:rPr>
                <w:sz w:val="20"/>
              </w:rPr>
              <w:t>Asset/Capability</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Yes (single case)</w:t>
            </w:r>
          </w:p>
        </w:tc>
      </w:tr>
      <w:tr>
        <w:tc>
          <w:tcPr>
            <w:tcW w:type="dxa" w:w="1560"/>
          </w:tcPr>
          <w:p>
            <w:pPr>
              <w:spacing w:line="240" w:lineRule="auto"/>
            </w:pPr>
            <w:r>
              <w:rPr>
                <w:sz w:val="20"/>
              </w:rPr>
              <w:t>GVC stickiness / offshore sunk-cost inertia</w:t>
            </w:r>
          </w:p>
        </w:tc>
        <w:tc>
          <w:tcPr>
            <w:tcW w:type="dxa" w:w="1560"/>
          </w:tcPr>
          <w:p>
            <w:pPr>
              <w:spacing w:line="240" w:lineRule="auto"/>
            </w:pPr>
            <w:r>
              <w:rPr>
                <w:sz w:val="20"/>
              </w:rPr>
              <w:t>Asset/Capability</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No</w:t>
            </w:r>
          </w:p>
        </w:tc>
      </w:tr>
      <w:tr>
        <w:tc>
          <w:tcPr>
            <w:tcW w:type="dxa" w:w="1560"/>
          </w:tcPr>
          <w:p>
            <w:pPr>
              <w:spacing w:line="240" w:lineRule="auto"/>
            </w:pPr>
            <w:r>
              <w:rPr>
                <w:sz w:val="20"/>
              </w:rPr>
              <w:t>Regional ecosystem readiness</w:t>
            </w:r>
          </w:p>
        </w:tc>
        <w:tc>
          <w:tcPr>
            <w:tcW w:type="dxa" w:w="1560"/>
          </w:tcPr>
          <w:p>
            <w:pPr>
              <w:spacing w:line="240" w:lineRule="auto"/>
            </w:pPr>
            <w:r>
              <w:rPr>
                <w:sz w:val="20"/>
              </w:rPr>
              <w:t>Asset/Capability</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w:t>
            </w:r>
          </w:p>
        </w:tc>
        <w:tc>
          <w:tcPr>
            <w:tcW w:type="dxa" w:w="1560"/>
          </w:tcPr>
          <w:p>
            <w:pPr>
              <w:spacing w:line="240" w:lineRule="auto"/>
            </w:pPr>
            <w:r>
              <w:rPr>
                <w:sz w:val="20"/>
              </w:rPr>
              <w:t>Yes (single case)</w:t>
            </w:r>
          </w:p>
        </w:tc>
      </w:tr>
    </w:tbl>
    <w:p>
      <w:pPr>
        <w:pStyle w:val="Heading2"/>
      </w:pPr>
      <w:r>
        <w:t>4.2 Regulatory/Institutional Barriers</w:t>
      </w:r>
    </w:p>
    <w:p>
      <w:r>
        <w:t>Of the four categories, the regulatory/institutional category is supported by the least direct empirical evidence: as Table 1 shows, only two of its themes have any direct empirical source, and one theme rests on review evidence alone. Most of the category's content is accordingly review-level or conceptual.</w:t>
      </w:r>
    </w:p>
    <w:p>
      <w:r>
        <w:t>The first theme concerns host-country constraints on exiting the offshore operation. Among the Swedish manufacturing firms studied by Li et al. (2025), strict host-country layoff regulations, the inability to close or reduce offshore operations quickly, locked investments, and substantial exit costs were identified as barriers; the study explicitly names Poland and China among the offshored locations where strict layoff regulations applied, although the finding is reported across the sample and not disaggregated by individual host country. The review literature reports convergent constraints: Di Stefano and Fratocchi (2019) note national closure regulations, foreign-plant exit costs in the form of closure fees and fiscal obligations, and host-country layoff constraints as obstacles to exiting offshore production discussed in the back-shoring literature. Together, the direct finding and the review evidence indicate that the disengagement side of reshoring can itself be regulated in ways that delay or burden implementation.</w:t>
      </w:r>
    </w:p>
    <w:p>
      <w:r>
        <w:t>The review literature adds a social dimension to exit that operates alongside formal regulation. Di Stefano and Fratocchi (2019) report that social-responsibility considerations — managerial reluctance to close a facility or lay off its workforce — can constrain the decision and implementation of foreign-plant closure, and the same review notes potential employee resistance during the closure of foreign production facilities, although the available evidence for this latter point is limited and context-dependent. None of the empirical studies in the sample observes these constraints directly; they rest on review evidence alone.</w:t>
      </w:r>
    </w:p>
    <w:p>
      <w:r>
        <w:t>On the home side, institutional frictions take a different form. Mirzaei et al. (2021) identify a mismatch between the national education system and manufacturing skill needs as a challenge to competitive domestic manufacturing — a constraint an individual firm cannot readily change. Conceptually, Gupta et al. (2023) identify home-country regulatory compliance — labour regulation, environmental standards, taxation, and production permits — as a constraint that becomes a barrier where it adds significant cost, delay, or capability demands.</w:t>
      </w:r>
    </w:p>
    <w:p>
      <w:pPr>
        <w:pStyle w:val="Heading2"/>
      </w:pPr>
      <w:r>
        <w:t>4.3 Cultural/Organisational Barriers</w:t>
      </w:r>
    </w:p>
    <w:p>
      <w:r>
        <w:t>The strongest direct evidence in this category concerns the implementation stage itself. Across the four fashion-industry relocation cases studied by Boffelli et al. (2021), the failure of relocation initiatives was directly connected to mistakes made in the implementation phase, and the study identifies insufficient internal organisational readiness, managerial behavioural biases, and learning through trial-and-error during implementation as implementation-stage problems; its central conclusion is that reshoring succeeds only if firms manage implementation correctly. The cases involved Romanian, Moroccan, Croatian, and Hungarian host locations, so these findings enter the synthesis as general implementation evidence. The review literature reports related organisational weaknesses — the immaturity of firms' reshoring processes and internal communication gaps (Wiesmann et al., 2017) — and, conceptually, a managerial-capability gap has been argued to constrain reshoring particularly for smaller firms (D'Ambrosio &amp; Lavoratori, 2025).</w:t>
      </w:r>
    </w:p>
    <w:p>
      <w:r>
        <w:t>A second, comparatively rare finding concerns the firm's internal structure. Mirzaei et al. (2021) identify silos between product development, production, sourcing, sales, and finance, and insufficient employee involvement, as challenges to competitive domestic manufacturing. This is a single study's evidence from the general Swedish home-country context rather than a corpus-wide pattern.</w:t>
      </w:r>
    </w:p>
    <w:p>
      <w:r>
        <w:t>The inter-firm relational dimension emerges from the China-to-Italy partial-reshoring case (Pedroletti, 2025). Reducing the activities conducted by the Chinese supplier lowered the level of interaction and risked the reshoring firm being perceived as an unreliable partner, hampering the supplier's trust and mutual orientation; the supplier may end the relationship or turn to a competitor. This adverse supplier response is a finding of one detailed case and is not generalised beyond it.</w:t>
      </w:r>
    </w:p>
    <w:p>
      <w:r>
        <w:t>One organisational question remains largely open in the literature: the governance mode of the return — whether reshored production is rebuilt in-house or outsourced to a domestic supplier — is identified as an under-researched dimension of reshoring rather than a documented barrier (Pedroletti &amp; Ciabuschi, 2023), and it is recorded here as a gap in the evidence.</w:t>
      </w:r>
    </w:p>
    <w:p>
      <w:r>
        <w:t>Finally, where reshoring is technology-enabled, an organisational-adaptation burden is reported consistently at review level. Digital adaptation requires more than purchasing technology — it means changing routines, responsibilities, information flows, and supplier and customer relationships, alongside a shortage of digital technical skills (Bilbao-Ubillos et al., 2024); technology-implementation readiness and the absence of a valid business model preceding the technology choice are likewise reported among barriers at the intersection of reshoring and Industry 4.0 (Espíndola et al., 2023). Conceptually, Industry 4.0 is framed as playing a dual role — an enabler of reshoring that simultaneously imposes new requirements in digital skills, investment, integration, and organisational adaptation (Gupta et al., 2023) — and an automation-scale threshold has been argued whereby automation does not automatically ease reshoring (D'Ambrosio &amp; Lavoratori, 2025). No direct empirical study in the sample observes this theme.</w:t>
      </w:r>
    </w:p>
    <w:p>
      <w:pPr>
        <w:pStyle w:val="Heading2"/>
      </w:pPr>
      <w:r>
        <w:t>4.4 Cost/Operational Barriers</w:t>
      </w:r>
    </w:p>
    <w:p>
      <w:r>
        <w:t>The first cost/operational theme is the depleted domestic supply base. Mirzaei et al. (2021) find that firms may remain dependent on foreign suppliers even after production returns, because domestic materials, specialised components, supplier know-how, or sufficient local scale are lacking. Di Mauro et al. (2018) similarly report a depleted supply base in high-cost home countries and the need to rebuild suppliers as challenges entailed by backshoring; two of that study's four cases returned from China, although the individual findings are not attributed to specific cases. The review literature reinforces the theme: weak home-country supplier capacity, local networks, and supply-chain integration are reported as barriers (Wiesmann et al., 2017), and the erosion of domestic supplier networks is identified as an implementation concern discussed in the reshoring literature (Ocicka, 2016). Conceptually, a domestic quality-supplier gap is also noted (Gupta et al., 2023).</w:t>
      </w:r>
    </w:p>
    <w:p>
      <w:r>
        <w:t>The return itself generates new costs. Among the Swedish firms studied by Li et al. (2025), cost miscalculation was identified where actual cost difficulties arose during or after relocation. At review level, implementation-cost escalation and cost-coordination complexity are reported among the barriers at the reshoring–Industry 4.0 intersection (Espíndola et al., 2023). Conceptually, D'Ambrosio and Lavoratori (2025) describe the new fixed costs of reshoring — building or restoring a plant, acquiring equipment and automation, hiring and training workers, and rebuilding a domestic supplier network — as among the most direct implementation barriers, and switching and reconfiguration costs, including duplicate operations during the transition, are conceptually identified by Gupta et al. (2023). These new costs of the return are distinct from the sunk costs of the offshore operation, which are reported separately in Section 4.5.</w:t>
      </w:r>
    </w:p>
    <w:p>
      <w:r>
        <w:t>A high-cost home environment, in turn, does not block physical relocation; it constrains the viability and scale of reshoring. Labour cost was named as a challenge by all five case firms studied by Mirzaei et al. (2021), alongside high energy and overhead costs; labour, overhead, and total costs were likewise among the prominent barriers reported across the Swedish firms studied by Li et al. (2025). Conceptually, a home-country factor-cost disadvantage is argued to affect the economic feasibility and scale of the return (D'Ambrosio &amp; Lavoratori, 2025). This theme is reported here strictly as a constraint on re-established domestic production, not as a motive in the original offshoring decision.</w:t>
      </w:r>
    </w:p>
    <w:p>
      <w:r>
        <w:t>Where only part of production returns, hybrid operation creates its own operational burden. In the China-to-Italy case (Pedroletti, 2025), partial reshoring split production between Italian and Chinese suppliers, requiring technically compatible components and more active cross-country coordination at additional cost; reducing the supplier base also left the firm dependent on fewer, non-substitutable partners, with reduced bargaining power and higher switching costs. This, too, is a single-case finding.</w:t>
      </w:r>
    </w:p>
    <w:p>
      <w:r>
        <w:t>Finally, the underestimation of operational adjustments during the transfer — linked to reconfiguring the manufacturing process and adapting internal production — emerged as the strongest implementation barrier in the multi-case fashion study of Boffelli et al. (2021). The finding is the study's own rating and is not extended beyond its four-case sample.</w:t>
      </w:r>
    </w:p>
    <w:p>
      <w:pPr>
        <w:pStyle w:val="Heading2"/>
      </w:pPr>
      <w:r>
        <w:t>4.5 Asset/Capability Barriers</w:t>
      </w:r>
    </w:p>
    <w:p>
      <w:r>
        <w:t>The loss of domestic skilled labour and manufacturing competence is the most broadly supported barrier in the corpus, appearing in direct case evidence, across the review literature, and in conceptual argument. In the China-to-UK case reported by Pegoraro et al. (2022), the firm initially lacked the knowledge to produce the part independently; workforce training and the learning curve — mastering new equipment, training staff, accumulating practical experience, and reaching acceptable quality — extended over roughly a twelve-month period in that case. Among Swedish firms, an internal competence gap reflecting competencies lost over years of offshoring was identified by Li et al. (2025), and a domestic skilled-labour shortage — loss of tacit knowledge, deficits in core manufacturing competencies, and high training time and cost — by Mirzaei et al. (2021). Di Mauro et al. (2018) report a scarcity of specialised manpower and the loss of domestic competences as constraints on implementing the return. At review level, a skilled-labour shortage and internal capability gap (Wiesmann et al., 2017), a technical-skills shortage together with a generational manufacturing-skills gap (Ocicka, 2016), and a digital technical-skills shortage (Bilbao-Ubillos et al., 2024) are reported; conceptually, a domestic skilled-workforce shortage (D'Ambrosio &amp; Lavoratori, 2025) and a domestic labour-availability gap (Gupta et al., 2023) are argued.</w:t>
      </w:r>
    </w:p>
    <w:p>
      <w:r>
        <w:t>Closely related is the physical side of capability rebuilding. The same China-to-UK case demonstrates that re-establishing production is more than acquiring a machine: the firm had to identify the needed technology, locate and integrate suitable equipment, and additionally obtain tooling, tooling suppliers, software, technical support, and specialised services — rebuilding an interconnected production system rather than making a single purchase (Pegoraro et al., 2022). A domestic capacity shortage and facilities and equipment constraints were identified among Swedish firms even after the reshoring decision had been made (Li et al., 2025), and a domestic production-capacity gap — insufficient facilities, equipment limits, and investment resources — is reported by Mirzaei et al. (2021). The review literature records a domestic capacity shortage and an infrastructure lock-out following prolonged offshoring (Wiesmann et al., 2017), and the theme is embedded conceptually in the new-fixed-costs argument (D'Ambrosio &amp; Lavoratori, 2025) and in a conceptually noted domestic infrastructure gap (Gupta et al., 2023).</w:t>
      </w:r>
    </w:p>
    <w:p>
      <w:r>
        <w:t>Capability constraints extend beyond the firm's own walls: specialised capabilities concentrated with the host-country supplier can be difficult to repatriate. In the China-to-Italy case (Pedroletti, 2025), persistent dependence on specialised Chinese supplier capabilities constrained how much production could return: the firm lacked the necessary production knowledge, experience with the components, specialised sourcing skills, and suitable domestic suppliers, so that partial reshoring, in place of a full return, functioned as a response to the practical impossibility of fully replacing the Chinese network. The gap concerned this specific, specialised capability, not domestic manufacturing capacity in general. Supplier and intellectual-property dependence — where the firm does not fully control rights to a component or technology and cannot simply move production home — was likewise identified among Swedish firms (Li et al., 2025). At review level, host-supplier dependence (Wiesmann et al., 2017) and offshore knowledge dependence (Bilbao-Ubillos et al., 2024) are reported, and knowledge-transfer ambiguity — knowledge residing with offshore employees, subsidiaries, suppliers, or the host-country network — is conceptually identified (Gupta et al., 2023).</w:t>
      </w:r>
    </w:p>
    <w:p>
      <w:r>
        <w:t>Established value chains also exhibit inertia. Offshore sunk-cost inertia is reported at review level (Bilbao-Ubillos et al., 2024), and D'Ambrosio and Lavoratori (2025) argue conceptually that value chains are "sticky," particularly for large firms, owing to sunk investment, accumulated supplier relationships, specialised infrastructure, and location-specific knowledge. This theme rests on review and conceptual evidence, without direct empirical observation in the sample; the already-incurred offshore sunk costs it describes are distinct from the new fixed costs of the return reported in Section 4.4.</w:t>
      </w:r>
    </w:p>
    <w:p>
      <w:r>
        <w:t>Finally, a detailed UK case demonstrates that implementation depended on the readiness of the home region: the regional availability of skilled labour, specialised suppliers, equipment providers, policy support, and training institutions shaped the process, with gaps manifesting as added search and development time rather than absolute absence (Pegoraro et al., 2022). At review level, a related digital-ecosystem gap is reported: digital servitisation requires interaction with technology providers, data specialists, suppliers, and research institutions, whose absence becomes a barrier (Bilbao-Ubillos et al., 2024).</w:t>
      </w:r>
    </w:p>
    <w:p>
      <w:r>
        <w:t>Taken together, the asset/capability category carries the broadest support, anchored by two Asia-specific single-case studies; the cost/operational and cultural/organisational categories combine direct empirical findings with review and conceptual support; and the regulatory/institutional category rests largely on review-level evidence. Chapter 5 interprets these findings.</w:t>
      </w:r>
    </w:p>
    <w:p>
      <w:r>
        <w:br w:type="page"/>
      </w:r>
    </w:p>
    <w:p>
      <w:pPr>
        <w:pStyle w:val="Heading1"/>
      </w:pPr>
      <w:r>
        <w:t>5 Discussion</w:t>
      </w:r>
    </w:p>
    <w:p>
      <w:r>
        <w:t>This chapter interprets the eighteen barrier themes reported in Chapter 4: what they mean for firms returning production from Asian host countries, how they reinforce one another, and what follows from them theoretically and managerially. Throughout, interpretations developed by this thesis are distinguished from findings stated by the original studies, and direct implementation evidence carries greater analytical weight than review-level or conceptual material.</w:t>
      </w:r>
    </w:p>
    <w:p>
      <w:pPr>
        <w:pStyle w:val="Heading2"/>
      </w:pPr>
      <w:r>
        <w:t>5.1 Discussion of Results</w:t>
      </w:r>
    </w:p>
    <w:p>
      <w:r>
        <w:t>The most striking pattern in the results is the dominance of the asset/capability category. The domestic skills and competence gap is the only barrier theme supported by direct case evidence, review syntheses, and conceptual argument simultaneously, and the physical counterpart — missing capacity, machinery, and complementary tooling — is nearly as broadly supported. The evidence therefore indicates that the central difficulty of reshoring implementation is not primarily a matter of deciding correctly, or even of paying for the move, but of reconstructing productive capability that eroded during years of offshoring. The strongest evidence for this interpretation comes from the China-to-UK case reported by Pegoraro et al. (2022), in which acquiring the machinery was only the beginning: the firm also needed tooling, software, technical services, and roughly a year of workforce training before production reached acceptable quality. A single acquisition decision unfolded into a twelve-month capability-building process in this case (Pegoraro et al., 2022), which illustrates more concretely than any aggregate finding why the implementation stage deserves separate analytical attention. General empirical evidence points in the same direction. Swedish firms reported competence gaps, facilities constraints, and capacity shortages even after the reshoring decision had been made (Li et al., 2025; Mirzaei et al., 2021), and returning firms in labour-intensive industries encountered a scarcity of specialised manpower (Di Mauro et al., 2018). Review-level syntheses record the same cluster across the wider literature (Wiesmann et al., 2017; Ocicka, 2016). Li et al.'s (2025) findings, however, are reported at the level of their Swedish sample and are not disaggregated by host country; they support the general pattern, not a China-specific claim.</w:t>
      </w:r>
    </w:p>
    <w:p>
      <w:r>
        <w:t>This capability reading explains why reshoring implementation is not simply offshoring in reverse. When production moved to Asia, it moved towards host locations that already possessed suppliers, skilled labour, and infrastructure; the offshoring firm could plug into an existing manufacturing ecosystem (Yang, 2016). The returning firm faces the opposite situation: the domestic ecosystem it left behind has partially disappeared. The review literature describes this as infrastructure lock-out and the hollowing-out of domestic supplier bases (Wiesmann et al., 2017; Ocicka, 2016), and the conceptual literature explains its persistence through the stickiness of established value chains (D'Ambrosio &amp; Lavoratori, 2025). This review adds that the asymmetry operates on both sides of the move at once. On the exit side, host-country layoff regulations, locked investments, and closure costs make leaving slow and expensive (Li et al., 2025; Di Stefano &amp; Fratocchi, 2019). On the arrival side, the firm must rebuild skills, equipment, and supplier relationships under the cost conditions of a high-wage economy (Mirzaei et al., 2021). A firm can therefore be caught between a host country that is costly to leave and a home country that is not ready to receive it — a combination that neither side's evidence, read alone, fully conveys.</w:t>
      </w:r>
    </w:p>
    <w:p>
      <w:r>
        <w:t>The results also suggest that barrier categories do not operate independently — they interact. The clearest illustration is the China-to-Italy case reported by Pedroletti (2025). There, dependence on specialised Chinese supplier capabilities — an asset/capability barrier — made full reshoring practically impossible, which forced a partial return; partial return in turn split production between two countries, creating new coordination costs and reducing the firm's bargaining power towards its remaining suppliers — cost/operational barriers — while the reduced order volumes strained the supplier relationship itself, an organisational and relational barrier (Pedroletti, 2025). One initial capability gap thus cascaded into operational and relational difficulties. A similar interaction appears between organisational readiness and every other category: Boffelli et al. (2021) found that relocation failures were directly connected to implementation-stage mistakes, which implies that weak readiness amplifies whatever other barriers a firm encounters, because problems that a prepared organisation could absorb become failures in an unprepared one. Organisational readiness is therefore better read not as one barrier among eighteen but as a condition that shapes how damaging the remaining barriers become. Boffelli et al.'s (2021) cases involved European and North African host countries, not Asia, so this interpretation describes a general implementation mechanism, not an Asia-specific finding.</w:t>
      </w:r>
    </w:p>
    <w:p>
      <w:r>
        <w:t>The distinction between full and partial reshoring deserves particular emphasis, because it changes what "barrier" means. In the conventional reading, a barrier is something that makes reshoring harder or more likely to fail. The evidence from Pedroletti (2025) shows a second possibility: barriers can constrain the scope of reshoring, producing a hybrid configuration in which part of production returns and part remains offshore. In that case, the barrier did not stop the project; it redefined it. This matters for interpretation because studies that record reshoring as a binary event may miss such partial outcomes entirely, and because a partial return generates its own ongoing operational burden — the fine-slicing coordination reported in the case (Pedroletti, 2025) — rather than a one-off transition cost. The evidence suggests, cautiously, that partial reshoring should be read not only as a strategic choice but sometimes as the observable footprint of implementation barriers that made a full return infeasible.</w:t>
      </w:r>
    </w:p>
    <w:p>
      <w:r>
        <w:t>Two qualifications discipline all of these interpretations. The genuinely Asia-specific direct evidence comes down to two documented cases — an automotive supplier returning from China to the United Kingdom (Pegoraro et al., 2022) and a manufacturer partially returning from China to Italy (Pedroletti, 2025). These cases converge on capability rebuilding and supplier dependence as the operative difficulties (Pegoraro et al., 2022; Pedroletti, 2025), which is consistent with the general pattern, but two cases from one host country cannot represent Asian markets as a whole, and nothing here should be read as a claim about, for instance, returns from Vietnam, India, or Indonesia. The second qualification concerns the thinness of the regulatory/institutional category, the least supported by direct empirical evidence. It may reflect genuine unimportance, but it may equally reflect the composition of the evidence base. Exit-side regulatory constraints were identified in the one study that looked for them systematically (Li et al., 2025) and recur in the review literature (Di Stefano &amp; Fratocchi, 2019), which points to under-observation more than absence. The categories are weighted here by the evidence they have, while acknowledging that absence of evidence is not evidence of absence.</w:t>
      </w:r>
    </w:p>
    <w:p>
      <w:r>
        <w:t>Taken together, the results answer the core research question as follows. The central barriers that manufacturing firms face when implementing reshoring from Asian markets are, on the strongest available evidence, the reconstruction of domestic capability — skills, machinery, tooling, and the surrounding ecosystem — and dependence on specialised host-country suppliers, compounded by underestimated operational adjustments and organisational readiness gaps during the transfer, by the new fixed and coordination costs of the return, and, less visibly but persistently, by host-country exit constraints. These barriers are unevenly evidenced, interact with one another, and in at least one documented case limited how much production could return at all.</w:t>
      </w:r>
    </w:p>
    <w:p>
      <w:pPr>
        <w:pStyle w:val="Heading2"/>
      </w:pPr>
      <w:r>
        <w:t>5.2 Theoretical Implications</w:t>
      </w:r>
    </w:p>
    <w:p>
      <w:r>
        <w:t>From a Transaction Cost Economics perspective (Williamson, 1985), the exit-side findings acquire a common logic. Asset specificity — investment committed to a particular exchange relationship (Williamson, 1985) — explains why offshore arrangements resist unwinding. The locked investments and substantial exit costs reported among Swedish firms (Li et al., 2025), the closure fees and layoff constraints recorded in the review literature (Di Stefano &amp; Fratocchi, 2019), and the contractual and intellectual-property dependencies that prevent a firm from simply relocating production it does not fully control (Li et al., 2025) are all, in transaction-cost terms, the price of dismantling governance structures built around specific assets. The same lens interprets the hybrid configuration that follows a partial return: coordinating production split between home and host locations, with technically interdependent components moving between them, is precisely the kind of exchange that generates ongoing transaction costs. The reduced bargaining power towards fewer, non-substitutable suppliers reported in the China-to-Italy case (Pedroletti, 2025) reflects the small-numbers dependency that transaction-cost reasoning associates with specific assets. Bounded rationality, finally, offers an interpretation of the miscalculation findings: firms underestimated operational adjustments (Boffelli et al., 2021) and encountered cost surprises during relocation (Li et al., 2025) not necessarily through negligence, but because the information needed for a complete ex ante calculation of an implementation process is not available in advance. Except where studies explicitly employ related frameworks, these are interpretations developed by this thesis; the reviewed studies did not test transaction-cost hypotheses, and this reading does not claim to validate the theory.</w:t>
      </w:r>
    </w:p>
    <w:p>
      <w:r>
        <w:t>Through a Resource-Based View lens (Barney, 1991), the arrival-side findings form an equally coherent picture. The capabilities that offshoring firms allowed to erode — manufacturing skills, tacit production knowledge, supplier relationships, and functioning regional ecosystems — are exactly the kinds of resources the theory identifies as difficult to imitate or acquire quickly: they are built through experience, embedded in people and routines, and dependent on complementary assets (Barney, 1991). This explains the most consistent finding of the review: capability gaps cannot be closed by purchase alone. The China-to-UK case demonstrates this in miniature — the machine could be bought, but the ability to operate it productively took a year of training and error-elimination to build (Pegoraro et al., 2022) — and the general evidence on skills shortages, generational knowledge loss, and supplier-network gaps (Di Mauro et al., 2018; Mirzaei et al., 2021; Ocicka, 2016) shows the same logic at sample level. An RBV reading also illuminates the regional ecosystem findings: the availability of skilled labour, specialised suppliers, and supporting institutions in the home region (Pegoraro et al., 2022) functions as a complementary resource endowment that individual firms draw on but cannot create alone.</w:t>
      </w:r>
    </w:p>
    <w:p>
      <w:r>
        <w:t>The two perspectives are most useful in combination, because several barriers are simultaneously transaction-cost and capability problems. Host-supplier dependence is the clearest example: from a TCE perspective it creates switching costs and a hold-up risk (Williamson, 1985), while through an RBV lens it marks a capability the firm never internalised (Barney, 1991). The China-to-Italy case shows both faces at once, with the firm unable to replace the supplier's specialised capability (a resource gap) and simultaneously exposed to deteriorating relational terms as volumes fell (a governance problem) (Pedroletti, 2025). Taken together, the two perspectives also explain the central puzzle the thesis began with: why firms that have already decided to reshore still struggle to do it. The decision reflects a comparison of locations; the implementation requires dismantling specific governance arrangements (TCE) and rebuilding scarce resources (RBV), and neither task is captured by the location comparison itself.</w:t>
      </w:r>
    </w:p>
    <w:p>
      <w:r>
        <w:t>The limitation of this theoretical apparatus should be acknowledged. Two findings sit awkwardly within it: the adverse relational response of the Chinese supplier in Pedroletti's (2025) case is better captured by the network and embeddedness perspective the study itself employs, which treats trust and mutual orientation as relationship-level phenomena rather than firm-level costs or resources; and the education-system mismatch reported by Mirzaei et al. (2021) is an institutional condition that neither TCE nor RBV addresses directly, since no individual firm can transact or resource its way out of a national skills shortage. Using TCE and RBV as the organising lenses therefore brings analytical clarity at the price of leaving relational and institutional dynamics at the margins — a boundary that future theoretical work on reshoring implementation might address.</w:t>
      </w:r>
    </w:p>
    <w:p>
      <w:pPr>
        <w:pStyle w:val="Heading2"/>
      </w:pPr>
      <w:r>
        <w:t>5.3 Practical Implications</w:t>
      </w:r>
    </w:p>
    <w:p>
      <w:r>
        <w:t>The managerial implications of these findings are best organised along the implementation process itself, because the evidence shows different barriers biting at different stages. They are evidence-based considerations, not guaranteed solutions, and their relevance will vary with industry, production technology, firm size, the home-country ecosystem, and the depth of the firm's dependence on Asian suppliers.</w:t>
      </w:r>
    </w:p>
    <w:p>
      <w:r>
        <w:t>At the feasibility and preparation stage, the findings indicate the value of two assessments that the reviewed cases suggest are often incomplete. The first is a genuine total-cost analysis of the return: the evidence on cost miscalculation (Li et al., 2025) and underestimated operational adjustments (Boffelli et al., 2021) suggests that firms budget for the visible transaction — equipment, freight, facilities — while underestimating transition costs, ramp-up losses, and coordination burdens; the total-cost-of-acquisition logic discussed in the reshoring literature (Ocicka, 2016) applies as much to leaving Asia as it did to going there. The second is a capability audit conducted before commitment: managers should assess which production knowledge, skills, and supplier capabilities the firm actually controls, and which reside with the host-country supplier or subsidiary, since the China-to-Italy case shows that a capability the firm assumed it could replace determined the entire scope of what could be reshored (Pedroletti, 2025).</w:t>
      </w:r>
    </w:p>
    <w:p>
      <w:r>
        <w:t>At the exit stage, the findings indicate the value of legal and regulatory due diligence in the host country well before the decision is announced. Layoff regulations, closure restrictions, and contractual obligations shaped the speed and cost of exit among the firms studied by Li et al. (2025), and the review literature adds closure fees, fiscal obligations, and the social dimension of plant closure (Di Stefano &amp; Fratocchi, 2019). A firm considering reshoring should therefore account for exit costs and timelines as a distinct budget line, and — where the evidence on employee and stakeholder responses is taken seriously (Di Stefano &amp; Fratocchi, 2019) — plan the communication and treatment of the offshore workforce as part of implementation rather than as an afterthought.</w:t>
      </w:r>
    </w:p>
    <w:p>
      <w:r>
        <w:t>During transfer and rebuilding, the strongest single practical lesson of the review is that production capability is a system rather than a purchase. The China-to-UK case suggests that machinery acquisition should be planned together with complementary tooling, software, technical services, and a workforce-training programme with a realistic time horizon — in that case roughly twelve months of learning before acceptable quality was reached, a figure that reflects one case's experience, not a norm, but that usefully calibrates expectations (Pegoraro et al., 2022). Because the domestic supplier base may have thinned during the offshoring years (Ocicka, 2016; Mirzaei et al., 2021), supplier mapping and early engagement with the home region's ecosystem — training institutions, equipment providers, industrial-support organisations — are indicated, since regional readiness manifested in the case evidence as search and development time added to the schedule (Pegoraro et al., 2022).</w:t>
      </w:r>
    </w:p>
    <w:p>
      <w:r>
        <w:t>For firms whose dependence on Asian suppliers proves difficult to unwind, the evidence suggests that a phased or partial approach may reduce risk relative to an all-or-nothing return — but with open eyes about its costs. Partial reshoring preserved access to irreplaceable supplier capabilities in the documented case, yet it created a lasting coordination burden between the home and host operations and shifted bargaining power towards the remaining suppliers (Pedroletti, 2025). Managers choosing this route should therefore plan for parallel production and cross-country coordination as a permanent operating condition, not a transition phase, and should assess how the relationship with remaining suppliers will be maintained as volumes change, given the adverse supplier response observed when interaction declined (Pedroletti, 2025).</w:t>
      </w:r>
    </w:p>
    <w:p>
      <w:r>
        <w:t>Finally, the organisational findings imply that implementation capacity itself deserves managerial attention. The connection between implementation mistakes and relocation failure (Boffelli et al., 2021), together with the evidence on internal silos and weak employee involvement in domestic manufacturing (Mirzaei et al., 2021), indicates the value of cross-functional coordination — bringing production, sourcing, product development, and finance into the reshoring programme early — and of treating the return as an organisational change project, not a logistics exercise. Where automation is part of the business case, the dual-role evidence should temper expectations: technology can offset home-country cost disadvantages, but its deployment demands digital skills, investment, and organisational adaptation of its own (Bilbao-Ubillos et al., 2024; Gupta et al., 2023; D'Ambrosio &amp; Lavoratori, 2025), so an automation-dependent reshoring plan should include an honest assessment of the firm's digital readiness and scale. Together, these considerations answer the second sub-question: the managerial route to mitigating reshoring barriers runs through early capability and dependency assessment, realistic total costing, host-country exit planning, systemic rebuilding of production capability, deliberate supplier reconfiguration, and investment in the organisation's own implementation capacity.</w:t>
      </w:r>
    </w:p>
    <w:p>
      <w:pPr>
        <w:pStyle w:val="Heading2"/>
      </w:pPr>
      <w:r>
        <w:t>5.4 Limitations and Future Research</w:t>
      </w:r>
    </w:p>
    <w:p>
      <w:r>
        <w:t>The conclusions of this thesis must be read against the limitations of its method and evidence base. As a systematic literature review, the study synthesises published research rather than observing reshoring directly, and it inherits the coverage and biases of that literature, including the likelihood that successfully completed reshoring projects are more visible in published research than abandoned or failed ones. The formal analytical sample is small — twenty-one studies, of which only a minority provide direct implementation evidence — and the genuinely Asia-specific direct evidence consists of two single-case studies, both documenting returns from China to Western Europe. In practice, this means the barriers identified here can be organised with reasonable confidence, but they cannot be weighted by frequency or generalised beyond the documented Asia-specific cases; the framework should be read as a structured map of the evidence, not a ranking of universal obstacles.</w:t>
      </w:r>
    </w:p>
    <w:p>
      <w:r>
        <w:t>Several limitations follow from the search and screening process. Literature discovery relied on Google Scholar, with the early searching conducted iteratively and without a prospectively documented protocol, and the review depended on English-language, accessible publications; relevant evidence in other languages or behind unavailable full texts may have been missed. Screening and coding were carried out by a single researcher, without the inter-coder reliability checks that a research team would allow. The evidence-classification dimensions used to organise the corpus record the type, relevance, and Asia-specificity of the evidence, but they do not amount to a full methodological quality appraisal of each study, and no claim in this thesis rests on verified page-level citations of the primary texts. Finally, the boundaries between the four framework categories — and between drivers, barriers, and outcomes — required judgement in several codings, since some reviewed studies do not separate the decision and implementation stages cleanly; the category assignments should therefore be treated as reasoned rather than mechanical.</w:t>
      </w:r>
    </w:p>
    <w:p>
      <w:r>
        <w:t>These limitations point directly to the research that is needed. The most valuable contribution would be longitudinal studies that follow firms through the entire reshoring process, from decision through exit, transfer, and ramp-up to stabilised domestic production, because the existing evidence captures stages in isolation and cannot show how barriers evolve or compound over time. Comparative work across different Asian host countries is needed for the same reason this review had to confine its Asia-specific claims to China: whether exit constraints, supplier dependence, and capability gaps operate similarly in returns from Vietnam, India, or other Asian manufacturing locations is simply unknown. The contrast between full and partial reshoring that emerged from the case evidence deserves systematic study, as does the behaviour of host-country suppliers when their customers reduce or withdraw volumes — the adverse-response finding rests on a single case and may vary considerably with market conditions. Research on failed or abandoned reshoring projects would correct the success bias inherent in the published record and would test the implementation-mistakes finding on the outcomes where it matters most. Studies of small and medium-sized firms are needed because the conceptual literature suggests their reshoring differs in kind — undertaken defensively and with thinner managerial resources (D'Ambrosio &amp; Lavoratori, 2025) — while most direct evidence comes from established manufacturers. Finally, the four-category framework developed here is a synthesis product and would benefit from quantitative testing across a larger sample of implementation cases, and the theoretical reading offered in Section 5.2 remains interpretive: direct empirical reshoring research that operationalises transaction-cost and resource-based constructs — asset specificity, switching costs, capability rebuilding time — would show whether the mechanisms proposed here in fact drive the barriers observed.</w:t>
      </w:r>
    </w:p>
    <w:p>
      <w:r>
        <w:br w:type="page"/>
      </w:r>
    </w:p>
    <w:p>
      <w:pPr>
        <w:pStyle w:val="Heading1"/>
      </w:pPr>
      <w:r>
        <w:t>6 Conclusion</w:t>
      </w:r>
    </w:p>
    <w:p>
      <w:r>
        <w:t>This thesis set out to answer a question that the reshoring literature had largely left open: not why manufacturing firms decide to bring production home from Asia, but what stands in their way once they try. This concluding chapter draws the analysis together, answers the research question and the two sub-questions directly, states the contribution of the study, and closes with an honest account of what the evidence does and does not support.</w:t>
      </w:r>
    </w:p>
    <w:p>
      <w:r>
        <w:rPr>
          <w:b/>
        </w:rPr>
        <w:t>Core research question.</w:t>
      </w:r>
      <w:r>
        <w:t xml:space="preserve"> On the evidence reviewed, the central barriers that manufacturing firms face when implementing reshoring strategies from Asian markets are, first and foremost, the reconstruction of domestic capability: the skills, machinery, tooling, and surrounding supplier ecosystem that eroded during the years of offshoring and cannot be restored by acquisition alone (Pegoraro et al., 2022). Closely linked to this is dependence on specialised host-country suppliers, which in the documented case evidence constrained not only how a return was carried out but how much of it was possible at all (Pedroletti, 2025). These capability-side difficulties are compounded by underestimated operational adjustments and organisational readiness gaps (Boffelli et al., 2021), by the new fixed and coordination costs that a return generates, and, less visibly but persistently, by host-country exit constraints such as layoff regulations and closure obligations (Li et al., 2025). None of these barriers operates in isolation: a capability gap can cascade into operational and relational difficulties, and weak organisational readiness amplifies whatever other barriers a firm encounters. Implementation therefore emerges as a distinct and demanding stage in its own right, not a formality that follows automatically once the location decision has been made.</w:t>
      </w:r>
    </w:p>
    <w:p>
      <w:r>
        <w:rPr>
          <w:b/>
        </w:rPr>
        <w:t>Sub-question 1.</w:t>
      </w:r>
      <w:r>
        <w:t xml:space="preserve"> The identified barriers were categorised into a systematic firm-level framework of four categories — regulatory/institutional, cultural/organisational, cost/operational, and asset/capability — comprising eighteen barrier themes drawn from the reviewed literature. This framework, presented in full in Table 1 and Appendix B, consolidates evidence that the literature had previously reported in scattered form into a single structure organised by the type of obstacle rather than by industry, country, or individual study. It also makes visible where the evidence base is strong and where it is thin. Asset/capability barriers carry the broadest and most consistent support across evidence types, while the regulatory/institutional category rests on the fewest sources. This pattern is treated as a property of the evidence base, not a settled statement about the real-world importance of regulatory obstacles.</w:t>
      </w:r>
    </w:p>
    <w:p>
      <w:r>
        <w:rPr>
          <w:b/>
        </w:rPr>
        <w:t>Sub-question 2.</w:t>
      </w:r>
      <w:r>
        <w:t xml:space="preserve"> Based on these findings, the identified barriers can be mitigated by addressing them at the stage of the return process at which they arise. Before commitment, a genuine total-cost analysis of the return and a capability audit of what the firm actually controls — as opposed to what resides with the host-country supplier — help prevent the underestimation that the evidence repeatedly documents. At the exit stage, host-country regulatory and contractual due diligence should be budgeted as a distinct line item, not treated as incidental to the move. During transfer and rebuilding, capability should be planned as a system of machinery, tooling, software, and workforce training rather than as a single purchase. Early engagement with the home region's supplier and training ecosystem is indicated wherever that ecosystem has thinned. Where dependence on Asian suppliers cannot be unwound quickly, a phased or partial approach may reduce risk, provided managers plan for the resulting cross-country coordination as a lasting operating condition. Underlying all of these measures is a more general implication: implementation capacity — cross-functional coordination and organisational readiness — is itself a resource that firms should build deliberately, because the evidence shows it determines how damaging the other barriers become.</w:t>
      </w:r>
    </w:p>
    <w:p>
      <w:r>
        <w:rPr>
          <w:b/>
        </w:rPr>
        <w:t>Contribution of the study.</w:t>
      </w:r>
      <w:r>
        <w:t xml:space="preserve"> The principal contribution of this thesis is a consolidated, firm-level framework of the barriers to reshoring implementation from Asian markets, built from evidence that the existing literature had addressed only in fragments, and interpreted through the complementary lenses of Transaction Cost Economics and the Resource-Based View. Read together, these two perspectives explain why a firm that has already decided to reshore can still struggle to do so. The decision compares locations, but carrying it out requires dismantling transaction-specific governance arrangements on the host side while simultaneously rebuilding scarce, slow-to-acquire resources on the home side, and neither task is captured by the location comparison itself. By shifting analytical attention from why firms reshore to how they carry it out, and by organising that attention around a firm-level framework rather than a list of disconnected findings, the thesis responds directly to the research gap identified in Chapter 1.</w:t>
      </w:r>
    </w:p>
    <w:p>
      <w:r>
        <w:rPr>
          <w:b/>
        </w:rPr>
        <w:t>Scope and closing remarks.</w:t>
      </w:r>
      <w:r>
        <w:t xml:space="preserve"> This contribution should be read within the limits the thesis has been careful to state throughout. The formal analytical sample comprises twenty-one studies, and the genuinely Asia-specific direct implementation evidence rests on two single-case studies, both documenting returns from China to Western Europe (Pegoraro et al., 2022; Pedroletti, 2025). The framework is therefore best understood as a structured map of what the current literature shows — not a ranking of universal obstacles, and not a claim that generalises beyond China to Asian markets as a whole. Within that scope, the findings indicate clearly that the difficulty of reshoring lies less in deciding to return than in rebuilding, at home, the productive capability that years of offshoring allowed to erode — a conclusion that reframes reshoring not as offshoring in reverse, but as a distinct undertaking with its own logic, its own costs, and its own risk of partial or incomplete success.</w:t>
      </w:r>
    </w:p>
    <w:p>
      <w:r>
        <w:br w:type="page"/>
      </w:r>
    </w:p>
    <w:p>
      <w:pPr>
        <w:pStyle w:val="Heading1"/>
      </w:pPr>
      <w:r>
        <w:t>References</w:t>
      </w:r>
    </w:p>
    <w:p>
      <w:r>
        <w:t xml:space="preserve">Barbieri, P., Boffelli, A., Elia, S., Fratocchi, L., Kalchschmidt, M., &amp; Samson, D. (2020). What can we learn about reshoring after Covid-19? </w:t>
      </w:r>
      <w:r>
        <w:rPr>
          <w:i/>
        </w:rPr>
        <w:t>Operations Management Research, 13</w:t>
      </w:r>
      <w:r>
        <w:t>(3–4), 131–136. https://doi.org/10.1007/s12063-020-00160-1</w:t>
      </w:r>
    </w:p>
    <w:p>
      <w:r>
        <w:t xml:space="preserve">Barney, J. (1991). Firm resources and sustained competitive advantage. </w:t>
      </w:r>
      <w:r>
        <w:rPr>
          <w:i/>
        </w:rPr>
        <w:t>Journal of Management, 17</w:t>
      </w:r>
      <w:r>
        <w:t>(1), 99–120. https://doi.org/10.1177/014920639101700108</w:t>
      </w:r>
    </w:p>
    <w:p>
      <w:r>
        <w:t xml:space="preserve">Bilbao-Ubillos, J., Camino-Beldarrain, V., Intxaurburu-Clemente, G., &amp; Velasco-Balmaseda, E. (2024). Industry 4.0, servitization, and reshoring: A systematic literature review. </w:t>
      </w:r>
      <w:r>
        <w:rPr>
          <w:i/>
        </w:rPr>
        <w:t>European Research on Management and Business Economics, 30</w:t>
      </w:r>
      <w:r>
        <w:t>(1), Article 100234. https://doi.org/10.1016/j.iedeen.2023.100234</w:t>
      </w:r>
    </w:p>
    <w:p>
      <w:r>
        <w:t xml:space="preserve">Boffelli, A., Fratocchi, L., Kalchschmidt, M., &amp; Lima da Costa e Silva, S. C. (2021). Doing the right thing or doing things right: What is better for a successful manufacturing reshoring? </w:t>
      </w:r>
      <w:r>
        <w:rPr>
          <w:i/>
        </w:rPr>
        <w:t>Operations Management Research, 14</w:t>
      </w:r>
      <w:r>
        <w:t>(1–2), 1–16. https://doi.org/10.1007/s12063-021-00183-2</w:t>
      </w:r>
    </w:p>
    <w:p>
      <w:r>
        <w:t xml:space="preserve">Bolter, K., &amp; Robey, J. (2020). </w:t>
      </w:r>
      <w:r>
        <w:rPr>
          <w:i/>
        </w:rPr>
        <w:t>Strategic reshoring: A literature review</w:t>
      </w:r>
      <w:r>
        <w:t>. W.E. Upjohn Institute for Employment Research. https://research.upjohn.org/reports/253</w:t>
      </w:r>
    </w:p>
    <w:p>
      <w:r>
        <w:t xml:space="preserve">D'Ambrosio, A., &amp; Lavoratori, K. (2025). Reshoring to survive? The other side of de-globalization. </w:t>
      </w:r>
      <w:r>
        <w:rPr>
          <w:i/>
        </w:rPr>
        <w:t>Journal of Industrial and Business Economics, 52</w:t>
      </w:r>
      <w:r>
        <w:t>(4), 867–889. https://doi.org/10.1007/s40812-025-00342-7</w:t>
      </w:r>
    </w:p>
    <w:p>
      <w:r>
        <w:t xml:space="preserve">Di Mauro, C., Fratocchi, L., Orzes, G., &amp; Sartor, M. (2018). Offshoring and backshoring: A multiple case study analysis. </w:t>
      </w:r>
      <w:r>
        <w:rPr>
          <w:i/>
        </w:rPr>
        <w:t>Journal of Purchasing and Supply Management, 24</w:t>
      </w:r>
      <w:r>
        <w:t>(2), 108–134. https://doi.org/10.1016/j.pursup.2017.07.003</w:t>
      </w:r>
    </w:p>
    <w:p>
      <w:r>
        <w:t xml:space="preserve">Di Stefano, C., &amp; Fratocchi, L. (2019). Manufacturing back-shoring and sustainability: A literature review. </w:t>
      </w:r>
      <w:r>
        <w:rPr>
          <w:i/>
        </w:rPr>
        <w:t>Sinergie Italian Journal of Management, 37</w:t>
      </w:r>
      <w:r>
        <w:t>(2), 119–143. https://doi.org/10.7433/s109.2019.07</w:t>
      </w:r>
    </w:p>
    <w:p>
      <w:r>
        <w:t xml:space="preserve">Espíndola, D. M., Pimenta, M. L., Silva, C. H. P. da, &amp; Bortolaso, I. V. (2023). Systematic literature review in reshoring strategies 4.0. </w:t>
      </w:r>
      <w:r>
        <w:rPr>
          <w:i/>
        </w:rPr>
        <w:t>Logistics, 7</w:t>
      </w:r>
      <w:r>
        <w:t>(3), Article 42. https://doi.org/10.3390/logistics7030042</w:t>
      </w:r>
    </w:p>
    <w:p>
      <w:r>
        <w:t xml:space="preserve">Gao, X., Hewings, G. J. D., &amp; Yang, C. (2022). Offshore, re-shore, re-offshore: What happened to global manufacturing location between 2007 and 2014? </w:t>
      </w:r>
      <w:r>
        <w:rPr>
          <w:i/>
        </w:rPr>
        <w:t>Cambridge Journal of Regions, Economy and Society, 15</w:t>
      </w:r>
      <w:r>
        <w:t>(2), 183–206. https://doi.org/10.1093/cjres/rsac004</w:t>
      </w:r>
    </w:p>
    <w:p>
      <w:r>
        <w:t xml:space="preserve">Gupta, S., Wang, Y., &amp; Czinkota, M. (2023). Reshoring: A road to Industry 4.0 transformation. </w:t>
      </w:r>
      <w:r>
        <w:rPr>
          <w:i/>
        </w:rPr>
        <w:t>British Journal of Management, 34</w:t>
      </w:r>
      <w:r>
        <w:t>(3), 1081–1099. https://doi.org/10.1111/1467-8551.12731</w:t>
      </w:r>
    </w:p>
    <w:p>
      <w:r>
        <w:t xml:space="preserve">Heikkilä, J., Martinsuo, M., &amp; Nenonen, S. (2018). Backshoring of production in the context of a small and open Nordic economy. </w:t>
      </w:r>
      <w:r>
        <w:rPr>
          <w:i/>
        </w:rPr>
        <w:t>Journal of Manufacturing Technology Management, 29</w:t>
      </w:r>
      <w:r>
        <w:t>(4), 658–675. https://doi.org/10.1108/JMTM-12-2016-0178</w:t>
      </w:r>
    </w:p>
    <w:p>
      <w:r>
        <w:t xml:space="preserve">Kamp, B., &amp; Gibaja, J. J. (2021). Adoption of digital technologies and backshoring decisions: Is there a link? </w:t>
      </w:r>
      <w:r>
        <w:rPr>
          <w:i/>
        </w:rPr>
        <w:t>Operations Management Research, 14</w:t>
      </w:r>
      <w:r>
        <w:t>(3–4), 380–402. https://doi.org/10.1007/s12063-021-00202-2</w:t>
      </w:r>
    </w:p>
    <w:p>
      <w:r>
        <w:t xml:space="preserve">Li, H., Hilletofth, P., Eriksson, D., &amp; Hilmola, O.-P. (2025). Exploring drivers, barriers and enablers for manufacturing reshoring in the Nordic countries. </w:t>
      </w:r>
      <w:r>
        <w:rPr>
          <w:i/>
        </w:rPr>
        <w:t>Review of International Business and Strategy, 35</w:t>
      </w:r>
      <w:r>
        <w:t>(5), 583–612. https://doi.org/10.1108/RIBS-11-2024-0132</w:t>
      </w:r>
    </w:p>
    <w:p>
      <w:r>
        <w:t xml:space="preserve">Mayring, P. (2014). </w:t>
      </w:r>
      <w:r>
        <w:rPr>
          <w:i/>
        </w:rPr>
        <w:t>Qualitative content analysis: Theoretical foundation, basic procedures and software solution</w:t>
      </w:r>
      <w:r>
        <w:t>. https://nbn-resolving.org/urn:nbn:de:0168-ssoar-395173</w:t>
      </w:r>
    </w:p>
    <w:p>
      <w:r>
        <w:t xml:space="preserve">McCully, T., &amp; Simola, H. (2024). </w:t>
      </w:r>
      <w:r>
        <w:rPr>
          <w:i/>
        </w:rPr>
        <w:t>Are supply chain vulnerabilities increasing in the era of geoeconomic fragmentation?</w:t>
      </w:r>
      <w:r>
        <w:t xml:space="preserve"> (BOFIT Policy Brief No. 10/2024). Bank of Finland Institute for Emerging Economies. https://www.econstor.eu/handle/10419/307141</w:t>
      </w:r>
    </w:p>
    <w:p>
      <w:r>
        <w:t xml:space="preserve">Mirzaei, N. E., Hilletofth, P., &amp; Pal, R. (2021). Challenges to competitive manufacturing in high-cost environments: Checklist and insights from Swedish manufacturing firms. </w:t>
      </w:r>
      <w:r>
        <w:rPr>
          <w:i/>
        </w:rPr>
        <w:t>Operations Management Research, 14</w:t>
      </w:r>
      <w:r>
        <w:t>(3–4), 272–292. https://doi.org/10.1007/s12063-021-00193-0</w:t>
      </w:r>
    </w:p>
    <w:p>
      <w:r>
        <w:t xml:space="preserve">Ocicka, B. (2016). Reshoring: Implementation issues and research opportunities. </w:t>
      </w:r>
      <w:r>
        <w:rPr>
          <w:i/>
        </w:rPr>
        <w:t>Management, 20</w:t>
      </w:r>
      <w:r>
        <w:t>(2), 103–117. https://doi.org/10.1515/manment-2015-0053</w:t>
      </w:r>
    </w:p>
    <w:p>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i/>
        </w:rPr>
        <w:t>BMJ, 372</w:t>
      </w:r>
      <w:r>
        <w:t>, Article n71. https://doi.org/10.1136/bmj.n71</w:t>
      </w:r>
    </w:p>
    <w:p>
      <w:r>
        <w:t xml:space="preserve">Page, M. J., Moher, D., Bossuyt, P. M., Boutron, I., Hoffmann, T. C., Mulrow, C. D., Shamseer, L., Tetzlaff, J. M., Akl, E. A., Brennan, S. E., Chou, R., Glanville, J., Grimshaw, J. M., Hróbjartsson, A., Lalu, M. M., Li, T., Loder, E. W., Mayo-Wilson, E., McDonald, S., … McKenzie, J. E. (2021). PRISMA 2020 explanation and elaboration: Updated guidance and exemplars for reporting systematic reviews. </w:t>
      </w:r>
      <w:r>
        <w:rPr>
          <w:i/>
        </w:rPr>
        <w:t>BMJ, 372</w:t>
      </w:r>
      <w:r>
        <w:t>, Article n160. https://doi.org/10.1136/bmj.n160</w:t>
      </w:r>
    </w:p>
    <w:p>
      <w:r>
        <w:t xml:space="preserve">Pedroletti, D. (2025). Network effects of partial reshoring in the internationalization process. </w:t>
      </w:r>
      <w:r>
        <w:rPr>
          <w:i/>
        </w:rPr>
        <w:t>International Business Review, 34</w:t>
      </w:r>
      <w:r>
        <w:t>(3), Article 102401. https://doi.org/10.1016/j.ibusrev.2025.102401</w:t>
      </w:r>
    </w:p>
    <w:p>
      <w:r>
        <w:t xml:space="preserve">Pedroletti, D., &amp; Ciabuschi, F. (2023). Reshoring: A review and research agenda. </w:t>
      </w:r>
      <w:r>
        <w:rPr>
          <w:i/>
        </w:rPr>
        <w:t>Journal of Business Research, 164</w:t>
      </w:r>
      <w:r>
        <w:t>, Article 114005. https://doi.org/10.1016/j.jbusres.2023.114005</w:t>
      </w:r>
    </w:p>
    <w:p>
      <w:r>
        <w:t xml:space="preserve">Pegoraro, D., De Propris, L., &amp; Chidlow, A. (2022). Regional factors enabling manufacturing reshoring strategies: A case study perspective. </w:t>
      </w:r>
      <w:r>
        <w:rPr>
          <w:i/>
        </w:rPr>
        <w:t>Journal of International Business Policy, 5</w:t>
      </w:r>
      <w:r>
        <w:t>(1), 112–133. https://doi.org/10.1057/s42214-021-00112-x</w:t>
      </w:r>
    </w:p>
    <w:p>
      <w:r>
        <w:t xml:space="preserve">Pourhejazy, P., &amp; Ashby, A. (2021). Reshoring decisions for adjusting supply chains in a changing world: A case study from the apparel industry. </w:t>
      </w:r>
      <w:r>
        <w:rPr>
          <w:i/>
        </w:rPr>
        <w:t>International Journal of Environmental Research and Public Health, 18</w:t>
      </w:r>
      <w:r>
        <w:t>(9), Article 4873. https://doi.org/10.3390/ijerph18094873</w:t>
      </w:r>
    </w:p>
    <w:p>
      <w:r>
        <w:t xml:space="preserve">Robinson, P. K., &amp; Hsieh, L. (2016). Reshoring: A strategic renewal of luxury clothing supply chains. </w:t>
      </w:r>
      <w:r>
        <w:rPr>
          <w:i/>
        </w:rPr>
        <w:t>Operations Management Research, 9</w:t>
      </w:r>
      <w:r>
        <w:t>(3–4), 89–101. https://doi.org/10.1007/s12063-016-0116-x</w:t>
      </w:r>
    </w:p>
    <w:p>
      <w:r>
        <w:t xml:space="preserve">Snyder, H. (2019). Literature review as a research methodology: An overview and guidelines. </w:t>
      </w:r>
      <w:r>
        <w:rPr>
          <w:i/>
        </w:rPr>
        <w:t>Journal of Business Research, 104</w:t>
      </w:r>
      <w:r>
        <w:t>, 333–339. https://doi.org/10.1016/j.jbusres.2019.07.039</w:t>
      </w:r>
    </w:p>
    <w:p>
      <w:r>
        <w:t xml:space="preserve">Somoza Medina, X. (2022). From deindustrialization to a reinforced process of reshoring in Europe: Another effect of the COVID-19 pandemic? </w:t>
      </w:r>
      <w:r>
        <w:rPr>
          <w:i/>
        </w:rPr>
        <w:t>Land, 11</w:t>
      </w:r>
      <w:r>
        <w:t>(12), Article 2109. https://doi.org/10.3390/land11122109</w:t>
      </w:r>
    </w:p>
    <w:p>
      <w:r>
        <w:t xml:space="preserve">Stentoft, J., Mikkelsen, O. S., &amp; Wickstrøm, K. A. (2025). Reshoring manufacturing: The influence of Industry 4.0, COVID-19, and made-in effects. </w:t>
      </w:r>
      <w:r>
        <w:rPr>
          <w:i/>
        </w:rPr>
        <w:t>Operations Management Research, 18</w:t>
      </w:r>
      <w:r>
        <w:t>(1), 353–372. https://doi.org/10.1007/s12063-024-00504-1</w:t>
      </w:r>
    </w:p>
    <w:p>
      <w:r>
        <w:t xml:space="preserve">Thomas, J., &amp; Harden, A. (2008). Methods for the thematic synthesis of qualitative research in systematic reviews. </w:t>
      </w:r>
      <w:r>
        <w:rPr>
          <w:i/>
        </w:rPr>
        <w:t>BMC Medical Research Methodology, 8</w:t>
      </w:r>
      <w:r>
        <w:t>, Article 45. https://doi.org/10.1186/1471-2288-8-45</w:t>
      </w:r>
    </w:p>
    <w:p>
      <w:r>
        <w:t xml:space="preserve">Tsai, T.-Y., &amp; Urmetzer, F. (2024). A decisional framework for manufacturing relocation: Consolidating and expanding the reshoring debate. </w:t>
      </w:r>
      <w:r>
        <w:rPr>
          <w:i/>
        </w:rPr>
        <w:t>International Journal of Management Reviews, 26</w:t>
      </w:r>
      <w:r>
        <w:t>(2), 254–284. https://doi.org/10.1111/ijmr.12352</w:t>
      </w:r>
    </w:p>
    <w:p>
      <w:r>
        <w:t xml:space="preserve">Wan, L., Orzes, G., Sartor, M., &amp; Nassimbeni, G. (2019). Reshoring: Does home country matter? </w:t>
      </w:r>
      <w:r>
        <w:rPr>
          <w:i/>
        </w:rPr>
        <w:t>Journal of Purchasing and Supply Management, 25</w:t>
      </w:r>
      <w:r>
        <w:t>(4), Article 100551. https://doi.org/10.1016/j.pursup.2019.100551</w:t>
      </w:r>
    </w:p>
    <w:p>
      <w:r>
        <w:t xml:space="preserve">Wiesmann, B., Snoei, J. R., Hilletofth, P., &amp; Eriksson, D. (2017). Drivers and barriers to reshoring: A literature review on offshoring in reverse. </w:t>
      </w:r>
      <w:r>
        <w:rPr>
          <w:i/>
        </w:rPr>
        <w:t>European Business Review, 29</w:t>
      </w:r>
      <w:r>
        <w:t>(1), 15–42. https://doi.org/10.1108/EBR-03-2016-0050</w:t>
      </w:r>
    </w:p>
    <w:p>
      <w:r>
        <w:t xml:space="preserve">Williamson, O. E. (1985). </w:t>
      </w:r>
      <w:r>
        <w:rPr>
          <w:i/>
        </w:rPr>
        <w:t>The economic institutions of capitalism: Firms, markets, relational contracting</w:t>
      </w:r>
      <w:r>
        <w:t>. Free Press.</w:t>
      </w:r>
    </w:p>
    <w:p>
      <w:r>
        <w:t xml:space="preserve">Xing, L., Jiang, S., Yin, S., &amp; Liu, F. (2024). Substitution effect of Asian economies on China's industrial and supply chains: From the perspective of global production network. </w:t>
      </w:r>
      <w:r>
        <w:rPr>
          <w:i/>
        </w:rPr>
        <w:t>Humanities and Social Sciences Communications, 11</w:t>
      </w:r>
      <w:r>
        <w:t>, Article 1304. https://doi.org/10.1057/s41599-024-03797-6</w:t>
      </w:r>
    </w:p>
    <w:p>
      <w:r>
        <w:t xml:space="preserve">Yang, C. (2016). Relocating labour-intensive manufacturing firms from China to Southeast Asia: A preliminary investigation. </w:t>
      </w:r>
      <w:r>
        <w:rPr>
          <w:i/>
        </w:rPr>
        <w:t>Bandung: Journal of the Global South, 3</w:t>
      </w:r>
      <w:r>
        <w:t>, Article 3. https://doi.org/10.1186/s40728-016-0031-4</w:t>
      </w:r>
    </w:p>
    <w:p>
      <w:r>
        <w:br w:type="page"/>
      </w:r>
    </w:p>
    <w:p>
      <w:pPr>
        <w:pStyle w:val="Heading1"/>
      </w:pPr>
      <w:r>
        <w:t>Appendix A — PRISMA 2020 Flow Diagram</w:t>
      </w:r>
    </w:p>
    <w:p>
      <w:r>
        <w:t>Constructed per PRISMA 2020's two-arm flow structure (Page, McKenzie, et al., 2021; Page, Moher, et al., 2021), as described in Chapter 3, §3.2. Arm 1 reports the documented update search (15 July 2026); Arm 2 reports the reconstructable full-text stage of the original exploratory search. The diagram documents the 21-study formal analytical sample only; methodology sources (n = 5) and contextual sources (n = 8) are retained for the thesis but are not "included studies" in the PRISMA sense and are reported separately beneath the diagram. No count or date from the original exploratory phase is estimated.</w:t>
      </w:r>
    </w:p>
    <w:p>
      <w:r>
        <w:t>---</w:t>
      </w:r>
    </w:p>
    <w:p>
      <w:pPr>
        <w:pStyle w:val="Heading2"/>
      </w:pPr>
      <w:r>
        <w:t>Arm 1 — Identification via databases (documented update search)</w:t>
      </w:r>
    </w:p>
    <w:p>
      <w:pPr>
        <w:spacing w:line="240" w:lineRule="auto" w:after="0"/>
      </w:pPr>
      <w:r>
        <w:rPr>
          <w:rFonts w:ascii="Courier New" w:hAnsi="Courier New"/>
          <w:sz w:val="18"/>
        </w:rPr>
        <w:t>Records identified through database searching</w:t>
      </w:r>
    </w:p>
    <w:p>
      <w:pPr>
        <w:spacing w:line="240" w:lineRule="auto" w:after="0"/>
      </w:pPr>
      <w:r>
        <w:rPr>
          <w:rFonts w:ascii="Courier New" w:hAnsi="Courier New"/>
          <w:sz w:val="18"/>
        </w:rPr>
        <w:t>(Google Scholar, 3 predefined strings, 15 July 2026)</w:t>
      </w:r>
    </w:p>
    <w:p>
      <w:pPr>
        <w:spacing w:line="240" w:lineRule="auto" w:after="0"/>
      </w:pPr>
      <w:r>
        <w:rPr>
          <w:rFonts w:ascii="Courier New" w:hAnsi="Courier New"/>
          <w:sz w:val="18"/>
        </w:rPr>
        <w:t xml:space="preserve">                    n = 102</w:t>
      </w:r>
    </w:p>
    <w:p>
      <w:pPr>
        <w:spacing w:line="240" w:lineRule="auto" w:after="0"/>
      </w:pPr>
      <w:r>
        <w:rPr>
          <w:rFonts w:ascii="Courier New" w:hAnsi="Courier New"/>
          <w:sz w:val="18"/>
        </w:rPr>
        <w:t xml:space="preserve">        (36 + 40 + 26 screened across the three strings;</w:t>
      </w:r>
    </w:p>
    <w:p>
      <w:pPr>
        <w:spacing w:line="240" w:lineRule="auto" w:after="0"/>
      </w:pPr>
      <w:r>
        <w:rPr>
          <w:rFonts w:ascii="Courier New" w:hAnsi="Courier New"/>
          <w:sz w:val="18"/>
        </w:rPr>
        <w:t xml:space="preserve">   displayed result counts of 10,400 / 14,300 / 1,660</w:t>
      </w:r>
    </w:p>
    <w:p>
      <w:pPr>
        <w:spacing w:line="240" w:lineRule="auto" w:after="0"/>
      </w:pPr>
      <w:r>
        <w:rPr>
          <w:rFonts w:ascii="Courier New" w:hAnsi="Courier New"/>
          <w:sz w:val="18"/>
        </w:rPr>
        <w:t xml:space="preserve">     reflect database breadth, not records screened)</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Duplicate records removed</w:t>
      </w:r>
    </w:p>
    <w:p>
      <w:pPr>
        <w:spacing w:line="240" w:lineRule="auto" w:after="0"/>
      </w:pPr>
      <w:r>
        <w:rPr>
          <w:rFonts w:ascii="Courier New" w:hAnsi="Courier New"/>
          <w:sz w:val="18"/>
        </w:rPr>
        <w:t xml:space="preserve">   (already present in the review corpus)</w:t>
      </w:r>
    </w:p>
    <w:p>
      <w:pPr>
        <w:spacing w:line="240" w:lineRule="auto" w:after="0"/>
      </w:pPr>
      <w:r>
        <w:rPr>
          <w:rFonts w:ascii="Courier New" w:hAnsi="Courier New"/>
          <w:sz w:val="18"/>
        </w:rPr>
        <w:t xml:space="preserve">                    n = 11</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Records screened</w:t>
      </w:r>
    </w:p>
    <w:p>
      <w:pPr>
        <w:spacing w:line="240" w:lineRule="auto" w:after="0"/>
      </w:pPr>
      <w:r>
        <w:rPr>
          <w:rFonts w:ascii="Courier New" w:hAnsi="Courier New"/>
          <w:sz w:val="18"/>
        </w:rPr>
        <w:t xml:space="preserve">                    n = 91</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Records excluded, with reason</w:t>
      </w:r>
    </w:p>
    <w:p>
      <w:pPr>
        <w:spacing w:line="240" w:lineRule="auto" w:after="0"/>
      </w:pPr>
      <w:r>
        <w:rPr>
          <w:rFonts w:ascii="Courier New" w:hAnsi="Courier New"/>
          <w:sz w:val="18"/>
        </w:rPr>
        <w:t xml:space="preserve">                    n = 8</w:t>
      </w:r>
    </w:p>
    <w:p>
      <w:pPr>
        <w:spacing w:line="240" w:lineRule="auto" w:after="0"/>
      </w:pPr>
      <w:r>
        <w:rPr>
          <w:rFonts w:ascii="Courier New" w:hAnsi="Courier New"/>
          <w:sz w:val="18"/>
        </w:rPr>
        <w:t xml:space="preserve">   Nearshoring, not genuine reshoring: 1</w:t>
      </w:r>
    </w:p>
    <w:p>
      <w:pPr>
        <w:spacing w:line="240" w:lineRule="auto" w:after="0"/>
      </w:pPr>
      <w:r>
        <w:rPr>
          <w:rFonts w:ascii="Courier New" w:hAnsi="Courier New"/>
          <w:sz w:val="18"/>
        </w:rPr>
        <w:t xml:space="preserve">   Non-peer-reviewed / inaccessible / low-credibility venue: 2</w:t>
      </w:r>
    </w:p>
    <w:p>
      <w:pPr>
        <w:spacing w:line="240" w:lineRule="auto" w:after="0"/>
      </w:pPr>
      <w:r>
        <w:rPr>
          <w:rFonts w:ascii="Courier New" w:hAnsi="Courier New"/>
          <w:sz w:val="18"/>
        </w:rPr>
        <w:t xml:space="preserve">   Macro/policy-level, not firm-level: 5</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Records not further assessed within thesis scope</w:t>
      </w:r>
    </w:p>
    <w:p>
      <w:pPr>
        <w:spacing w:line="240" w:lineRule="auto" w:after="0"/>
      </w:pPr>
      <w:r>
        <w:rPr>
          <w:rFonts w:ascii="Courier New" w:hAnsi="Courier New"/>
          <w:sz w:val="18"/>
        </w:rPr>
        <w:t xml:space="preserve">    (topically adjacent records noted but not pursued</w:t>
      </w:r>
    </w:p>
    <w:p>
      <w:pPr>
        <w:spacing w:line="240" w:lineRule="auto" w:after="0"/>
      </w:pPr>
      <w:r>
        <w:rPr>
          <w:rFonts w:ascii="Courier New" w:hAnsi="Courier New"/>
          <w:sz w:val="18"/>
        </w:rPr>
        <w:t xml:space="preserve">             to full-text assessment)</w:t>
      </w:r>
    </w:p>
    <w:p>
      <w:pPr>
        <w:spacing w:line="240" w:lineRule="auto" w:after="0"/>
      </w:pPr>
      <w:r>
        <w:rPr>
          <w:rFonts w:ascii="Courier New" w:hAnsi="Courier New"/>
          <w:sz w:val="18"/>
        </w:rPr>
        <w:t xml:space="preserve">                    n = 83</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New studies included from Arm 1</w:t>
      </w:r>
    </w:p>
    <w:p>
      <w:pPr>
        <w:spacing w:line="240" w:lineRule="auto" w:after="0"/>
      </w:pPr>
      <w:r>
        <w:rPr>
          <w:rFonts w:ascii="Courier New" w:hAnsi="Courier New"/>
          <w:sz w:val="18"/>
        </w:rPr>
        <w:t xml:space="preserve">                    n = 0</w:t>
      </w:r>
    </w:p>
    <w:p>
      <w:pPr>
        <w:pStyle w:val="Heading2"/>
      </w:pPr>
      <w:r>
        <w:t>Arm 2 — Identification via other methods (original exploratory search, backward/forward citation searching, related-article suggestions)</w:t>
      </w:r>
    </w:p>
    <w:p>
      <w:pPr>
        <w:spacing w:line="240" w:lineRule="auto" w:after="0"/>
      </w:pPr>
      <w:r>
        <w:rPr>
          <w:rFonts w:ascii="Courier New" w:hAnsi="Courier New"/>
          <w:sz w:val="18"/>
        </w:rPr>
        <w:t>Records identified via other methods</w:t>
      </w:r>
    </w:p>
    <w:p>
      <w:pPr>
        <w:spacing w:line="240" w:lineRule="auto" w:after="0"/>
      </w:pPr>
      <w:r>
        <w:rPr>
          <w:rFonts w:ascii="Courier New" w:hAnsi="Courier New"/>
          <w:sz w:val="18"/>
        </w:rPr>
        <w:t xml:space="preserve">        n = not recorded (exploratory phase)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Reports sought and assessed at full text</w:t>
      </w:r>
    </w:p>
    <w:p>
      <w:pPr>
        <w:spacing w:line="240" w:lineRule="auto" w:after="0"/>
      </w:pPr>
      <w:r>
        <w:rPr>
          <w:rFonts w:ascii="Courier New" w:hAnsi="Courier New"/>
          <w:sz w:val="18"/>
        </w:rPr>
        <w:t xml:space="preserve">                    n = 34</w:t>
      </w:r>
    </w:p>
    <w:p>
      <w:pPr>
        <w:spacing w:line="240" w:lineRule="auto" w:after="0"/>
      </w:pPr>
      <w:r>
        <w:rPr>
          <w:rFonts w:ascii="Courier New" w:hAnsi="Courier New"/>
          <w:sz w:val="18"/>
        </w:rPr>
        <w:t xml:space="preserve">   (21 formal analytical sample + 8 contextual/</w:t>
      </w:r>
    </w:p>
    <w:p>
      <w:pPr>
        <w:spacing w:line="240" w:lineRule="auto" w:after="0"/>
      </w:pPr>
      <w:r>
        <w:rPr>
          <w:rFonts w:ascii="Courier New" w:hAnsi="Courier New"/>
          <w:sz w:val="18"/>
        </w:rPr>
        <w:t xml:space="preserve">    policy/decision-support + 5 methodology)</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Reports individually assessed and excluded</w:t>
      </w:r>
    </w:p>
    <w:p>
      <w:pPr>
        <w:spacing w:line="240" w:lineRule="auto" w:after="0"/>
      </w:pPr>
      <w:r>
        <w:rPr>
          <w:rFonts w:ascii="Courier New" w:hAnsi="Courier New"/>
          <w:sz w:val="18"/>
        </w:rPr>
        <w:t xml:space="preserve">                    n = 4</w:t>
      </w:r>
    </w:p>
    <w:p>
      <w:pPr>
        <w:spacing w:line="240" w:lineRule="auto" w:after="0"/>
      </w:pPr>
      <w:r>
        <w:rPr>
          <w:rFonts w:ascii="Courier New" w:hAnsi="Courier New"/>
          <w:sz w:val="18"/>
        </w:rPr>
        <w:t xml:space="preserve">   Not genuine reshoring (China+1/re-offshoring pattern): 1</w:t>
      </w:r>
    </w:p>
    <w:p>
      <w:pPr>
        <w:spacing w:line="240" w:lineRule="auto" w:after="0"/>
      </w:pPr>
      <w:r>
        <w:rPr>
          <w:rFonts w:ascii="Courier New" w:hAnsi="Courier New"/>
          <w:sz w:val="18"/>
        </w:rPr>
        <w:t xml:space="preserve">   Closed access (full text not openly accessible): 1</w:t>
      </w:r>
    </w:p>
    <w:p>
      <w:pPr>
        <w:spacing w:line="240" w:lineRule="auto" w:after="0"/>
      </w:pPr>
      <w:r>
        <w:rPr>
          <w:rFonts w:ascii="Courier New" w:hAnsi="Courier New"/>
          <w:sz w:val="18"/>
        </w:rPr>
        <w:t xml:space="preserve">   Preprint, not peer-reviewed: 1</w:t>
      </w:r>
    </w:p>
    <w:p>
      <w:pPr>
        <w:spacing w:line="240" w:lineRule="auto" w:after="0"/>
      </w:pPr>
      <w:r>
        <w:rPr>
          <w:rFonts w:ascii="Courier New" w:hAnsi="Courier New"/>
          <w:sz w:val="18"/>
        </w:rPr>
        <w:t xml:space="preserve">   Duplicate of an already-included source: 1</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Studies included in formal analytical sample</w:t>
      </w:r>
    </w:p>
    <w:p>
      <w:pPr>
        <w:spacing w:line="240" w:lineRule="auto" w:after="0"/>
      </w:pPr>
      <w:r>
        <w:rPr>
          <w:rFonts w:ascii="Courier New" w:hAnsi="Courier New"/>
          <w:sz w:val="18"/>
        </w:rPr>
        <w:t xml:space="preserve">                    n = 21</w:t>
      </w:r>
    </w:p>
    <w:p>
      <w:r>
        <w:t>† Records identified via the original exploratory search process (Arm 2) were not counted prospectively, because that phase preceded the adoption of a documented search protocol; the update search (Arm 1) provides the documented, reproducible search record for this thesis.</w:t>
      </w:r>
    </w:p>
    <w:p>
      <w:r>
        <w:t>---</w:t>
      </w:r>
    </w:p>
    <w:p>
      <w:pPr>
        <w:pStyle w:val="Heading2"/>
      </w:pPr>
      <w:r>
        <w:t>Total studies included in the review</w:t>
      </w:r>
    </w:p>
    <w:p>
      <w:r>
        <w:rPr>
          <w:b/>
        </w:rPr>
        <w:t>Formal analytical sample: n = 21</w:t>
      </w:r>
      <w:r>
        <w:t xml:space="preserve"> (Arms 1 + 2 combined; all 21 entered via Arm 2, none via Arm 1):</w:t>
      </w:r>
    </w:p>
    <w:p>
      <w:r>
        <w:t>Bilbao-Ubillos et al. (2024); Boffelli et al. (2021); D'Ambrosio and Lavoratori (2025); Di Mauro et al. (2018); Di Stefano and Fratocchi (2019); Espíndola et al. (2023); Gupta et al. (2023); Heikkilä et al. (2018); Kamp and Gibaja (2021); Li et al. (2025); Mirzaei et al. (2021); Ocicka (2016); Pedroletti (2025); Pedroletti and Ciabuschi (2023); Pegoraro et al. (2022); Pourhejazy and Ashby (2021); Robinson and Hsieh (2016); Stentoft et al. (2025); Tsai and Urmetzer (2024); Wan et al. (2019); Wiesmann et al. (2017). Full bibliographic details are given in the reference list.</w:t>
      </w:r>
    </w:p>
    <w:p>
      <w:r>
        <w:rPr>
          <w:b/>
        </w:rPr>
        <w:t>Additional sources retained outside the formal analytical sample</w:t>
      </w:r>
      <w:r>
        <w:t xml:space="preserve"> (not "included studies" in the PRISMA sense, reported here for transparency): - Contextual/policy/decision-support sources: n = 8 - Methodology sources: n = 5 - Primary theoretical sources (Williamson, 1985; Barney, 1991), used only in Sections 2.2 and 5.2: n = 2 — not part of this flow diagram.</w:t>
      </w:r>
    </w:p>
    <w:p>
      <w:r>
        <w:rPr>
          <w:b/>
        </w:rPr>
        <w:t>Corpus total: n = 36.</w:t>
      </w:r>
    </w:p>
    <w:p>
      <w:r>
        <w:br w:type="page"/>
      </w:r>
    </w:p>
    <w:p>
      <w:pPr>
        <w:pStyle w:val="Heading1"/>
      </w:pPr>
      <w:r>
        <w:t>Appendix B — Coding Table</w:t>
      </w:r>
    </w:p>
    <w:p>
      <w:r>
        <w:rPr>
          <w:b/>
        </w:rPr>
        <w:t>Appendix B. Barrier-theme coding table: each barrier theme cross-referenced to its contributing sources and the evidence type each source provides.</w:t>
      </w:r>
      <w:r>
        <w:t xml:space="preserve"> Evidence types (direct empirical / review / conceptual) are recorded separately per source and are not aggregated. Asia-specificity qualifications are summarised in Table 1 (Chapter 4, Section 4.1).</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b/>
                <w:sz w:val="18"/>
              </w:rPr>
              <w:t>Theme</w:t>
            </w:r>
          </w:p>
        </w:tc>
        <w:tc>
          <w:tcPr>
            <w:tcW w:type="dxa" w:w="2340"/>
          </w:tcPr>
          <w:p>
            <w:pPr>
              <w:spacing w:line="240" w:lineRule="auto"/>
            </w:pPr>
            <w:r>
              <w:rPr>
                <w:b/>
                <w:sz w:val="18"/>
              </w:rPr>
              <w:t>Framework category</w:t>
            </w:r>
          </w:p>
        </w:tc>
        <w:tc>
          <w:tcPr>
            <w:tcW w:type="dxa" w:w="2340"/>
          </w:tcPr>
          <w:p>
            <w:pPr>
              <w:spacing w:line="240" w:lineRule="auto"/>
            </w:pPr>
            <w:r>
              <w:rPr>
                <w:b/>
                <w:sz w:val="18"/>
              </w:rPr>
              <w:t>Source</w:t>
            </w:r>
          </w:p>
        </w:tc>
        <w:tc>
          <w:tcPr>
            <w:tcW w:type="dxa" w:w="2340"/>
          </w:tcPr>
          <w:p>
            <w:pPr>
              <w:spacing w:line="240" w:lineRule="auto"/>
            </w:pPr>
            <w:r>
              <w:rPr>
                <w:b/>
                <w:sz w:val="18"/>
              </w:rPr>
              <w:t>Evidence type</w:t>
            </w:r>
          </w:p>
        </w:tc>
      </w:tr>
      <w:tr>
        <w:tc>
          <w:tcPr>
            <w:tcW w:type="dxa" w:w="2340"/>
          </w:tcPr>
          <w:p>
            <w:pPr>
              <w:spacing w:line="240" w:lineRule="auto"/>
            </w:pPr>
            <w:r>
              <w:rPr>
                <w:sz w:val="18"/>
              </w:rPr>
              <w:t>1.1</w:t>
            </w:r>
          </w:p>
        </w:tc>
        <w:tc>
          <w:tcPr>
            <w:tcW w:type="dxa" w:w="2340"/>
          </w:tcPr>
          <w:p>
            <w:pPr>
              <w:spacing w:line="240" w:lineRule="auto"/>
            </w:pPr>
            <w:r>
              <w:rPr>
                <w:sz w:val="18"/>
              </w:rPr>
              <w:t>Asset/Capability</w:t>
            </w:r>
          </w:p>
        </w:tc>
        <w:tc>
          <w:tcPr>
            <w:tcW w:type="dxa" w:w="2340"/>
          </w:tcPr>
          <w:p>
            <w:pPr>
              <w:spacing w:line="240" w:lineRule="auto"/>
            </w:pPr>
            <w:r>
              <w:rPr>
                <w:sz w:val="18"/>
              </w:rPr>
              <w:t>Pegoraro et al. (2022)</w:t>
            </w:r>
          </w:p>
        </w:tc>
        <w:tc>
          <w:tcPr>
            <w:tcW w:type="dxa" w:w="2340"/>
          </w:tcPr>
          <w:p>
            <w:pPr>
              <w:spacing w:line="240" w:lineRule="auto"/>
            </w:pPr>
            <w:r>
              <w:rPr>
                <w:sz w:val="18"/>
              </w:rPr>
              <w:t>Direct empirical (single case, China→UK)</w:t>
            </w:r>
          </w:p>
        </w:tc>
      </w:tr>
      <w:tr>
        <w:tc>
          <w:tcPr>
            <w:tcW w:type="dxa" w:w="2340"/>
          </w:tcPr>
          <w:p>
            <w:pPr>
              <w:spacing w:line="240" w:lineRule="auto"/>
            </w:pPr>
            <w:r>
              <w:rPr>
                <w:sz w:val="18"/>
              </w:rPr>
              <w:t>1.1</w:t>
            </w:r>
          </w:p>
        </w:tc>
        <w:tc>
          <w:tcPr>
            <w:tcW w:type="dxa" w:w="2340"/>
          </w:tcPr>
          <w:p>
            <w:pPr>
              <w:spacing w:line="240" w:lineRule="auto"/>
            </w:pPr>
            <w:r>
              <w:rPr>
                <w:sz w:val="18"/>
              </w:rPr>
              <w:t>Asset/Capability</w:t>
            </w:r>
          </w:p>
        </w:tc>
        <w:tc>
          <w:tcPr>
            <w:tcW w:type="dxa" w:w="2340"/>
          </w:tcPr>
          <w:p>
            <w:pPr>
              <w:spacing w:line="240" w:lineRule="auto"/>
            </w:pPr>
            <w:r>
              <w:rPr>
                <w:sz w:val="18"/>
              </w:rPr>
              <w:t>Li et al. (2025)</w:t>
            </w:r>
          </w:p>
        </w:tc>
        <w:tc>
          <w:tcPr>
            <w:tcW w:type="dxa" w:w="2340"/>
          </w:tcPr>
          <w:p>
            <w:pPr>
              <w:spacing w:line="240" w:lineRule="auto"/>
            </w:pPr>
            <w:r>
              <w:rPr>
                <w:sz w:val="18"/>
              </w:rPr>
              <w:t>Direct empirical (general Nordic/Swedish)</w:t>
            </w:r>
          </w:p>
        </w:tc>
      </w:tr>
      <w:tr>
        <w:tc>
          <w:tcPr>
            <w:tcW w:type="dxa" w:w="2340"/>
          </w:tcPr>
          <w:p>
            <w:pPr>
              <w:spacing w:line="240" w:lineRule="auto"/>
            </w:pPr>
            <w:r>
              <w:rPr>
                <w:sz w:val="18"/>
              </w:rPr>
              <w:t>1.1</w:t>
            </w:r>
          </w:p>
        </w:tc>
        <w:tc>
          <w:tcPr>
            <w:tcW w:type="dxa" w:w="2340"/>
          </w:tcPr>
          <w:p>
            <w:pPr>
              <w:spacing w:line="240" w:lineRule="auto"/>
            </w:pPr>
            <w:r>
              <w:rPr>
                <w:sz w:val="18"/>
              </w:rPr>
              <w:t>Asset/Capability</w:t>
            </w:r>
          </w:p>
        </w:tc>
        <w:tc>
          <w:tcPr>
            <w:tcW w:type="dxa" w:w="2340"/>
          </w:tcPr>
          <w:p>
            <w:pPr>
              <w:spacing w:line="240" w:lineRule="auto"/>
            </w:pPr>
            <w:r>
              <w:rPr>
                <w:sz w:val="18"/>
              </w:rPr>
              <w:t>Di Mauro et al. (2018)</w:t>
            </w:r>
          </w:p>
        </w:tc>
        <w:tc>
          <w:tcPr>
            <w:tcW w:type="dxa" w:w="2340"/>
          </w:tcPr>
          <w:p>
            <w:pPr>
              <w:spacing w:line="240" w:lineRule="auto"/>
            </w:pPr>
            <w:r>
              <w:rPr>
                <w:sz w:val="18"/>
              </w:rPr>
              <w:t>Direct empirical (limited; partial China attribution)</w:t>
            </w:r>
          </w:p>
        </w:tc>
      </w:tr>
      <w:tr>
        <w:tc>
          <w:tcPr>
            <w:tcW w:type="dxa" w:w="2340"/>
          </w:tcPr>
          <w:p>
            <w:pPr>
              <w:spacing w:line="240" w:lineRule="auto"/>
            </w:pPr>
            <w:r>
              <w:rPr>
                <w:sz w:val="18"/>
              </w:rPr>
              <w:t>1.1</w:t>
            </w:r>
          </w:p>
        </w:tc>
        <w:tc>
          <w:tcPr>
            <w:tcW w:type="dxa" w:w="2340"/>
          </w:tcPr>
          <w:p>
            <w:pPr>
              <w:spacing w:line="240" w:lineRule="auto"/>
            </w:pPr>
            <w:r>
              <w:rPr>
                <w:sz w:val="18"/>
              </w:rPr>
              <w:t>Asset/Capability</w:t>
            </w:r>
          </w:p>
        </w:tc>
        <w:tc>
          <w:tcPr>
            <w:tcW w:type="dxa" w:w="2340"/>
          </w:tcPr>
          <w:p>
            <w:pPr>
              <w:spacing w:line="240" w:lineRule="auto"/>
            </w:pPr>
            <w:r>
              <w:rPr>
                <w:sz w:val="18"/>
              </w:rPr>
              <w:t>Mirzaei et al. (2021)</w:t>
            </w:r>
          </w:p>
        </w:tc>
        <w:tc>
          <w:tcPr>
            <w:tcW w:type="dxa" w:w="2340"/>
          </w:tcPr>
          <w:p>
            <w:pPr>
              <w:spacing w:line="240" w:lineRule="auto"/>
            </w:pPr>
            <w:r>
              <w:rPr>
                <w:sz w:val="18"/>
              </w:rPr>
              <w:t>Direct empirical (general Swedish)</w:t>
            </w:r>
          </w:p>
        </w:tc>
      </w:tr>
      <w:tr>
        <w:tc>
          <w:tcPr>
            <w:tcW w:type="dxa" w:w="2340"/>
          </w:tcPr>
          <w:p>
            <w:pPr>
              <w:spacing w:line="240" w:lineRule="auto"/>
            </w:pPr>
            <w:r>
              <w:rPr>
                <w:sz w:val="18"/>
              </w:rPr>
              <w:t>1.1</w:t>
            </w:r>
          </w:p>
        </w:tc>
        <w:tc>
          <w:tcPr>
            <w:tcW w:type="dxa" w:w="2340"/>
          </w:tcPr>
          <w:p>
            <w:pPr>
              <w:spacing w:line="240" w:lineRule="auto"/>
            </w:pPr>
            <w:r>
              <w:rPr>
                <w:sz w:val="18"/>
              </w:rPr>
              <w:t>Asset/Capability</w:t>
            </w:r>
          </w:p>
        </w:tc>
        <w:tc>
          <w:tcPr>
            <w:tcW w:type="dxa" w:w="2340"/>
          </w:tcPr>
          <w:p>
            <w:pPr>
              <w:spacing w:line="240" w:lineRule="auto"/>
            </w:pPr>
            <w:r>
              <w:rPr>
                <w:sz w:val="18"/>
              </w:rPr>
              <w:t>Wiesmann et al. (2017)</w:t>
            </w:r>
          </w:p>
        </w:tc>
        <w:tc>
          <w:tcPr>
            <w:tcW w:type="dxa" w:w="2340"/>
          </w:tcPr>
          <w:p>
            <w:pPr>
              <w:spacing w:line="240" w:lineRule="auto"/>
            </w:pPr>
            <w:r>
              <w:rPr>
                <w:sz w:val="18"/>
              </w:rPr>
              <w:t>Review</w:t>
            </w:r>
          </w:p>
        </w:tc>
      </w:tr>
      <w:tr>
        <w:tc>
          <w:tcPr>
            <w:tcW w:type="dxa" w:w="2340"/>
          </w:tcPr>
          <w:p>
            <w:pPr>
              <w:spacing w:line="240" w:lineRule="auto"/>
            </w:pPr>
            <w:r>
              <w:rPr>
                <w:sz w:val="18"/>
              </w:rPr>
              <w:t>1.1</w:t>
            </w:r>
          </w:p>
        </w:tc>
        <w:tc>
          <w:tcPr>
            <w:tcW w:type="dxa" w:w="2340"/>
          </w:tcPr>
          <w:p>
            <w:pPr>
              <w:spacing w:line="240" w:lineRule="auto"/>
            </w:pPr>
            <w:r>
              <w:rPr>
                <w:sz w:val="18"/>
              </w:rPr>
              <w:t>Asset/Capability</w:t>
            </w:r>
          </w:p>
        </w:tc>
        <w:tc>
          <w:tcPr>
            <w:tcW w:type="dxa" w:w="2340"/>
          </w:tcPr>
          <w:p>
            <w:pPr>
              <w:spacing w:line="240" w:lineRule="auto"/>
            </w:pPr>
            <w:r>
              <w:rPr>
                <w:sz w:val="18"/>
              </w:rPr>
              <w:t>Ocicka (2016)</w:t>
            </w:r>
          </w:p>
        </w:tc>
        <w:tc>
          <w:tcPr>
            <w:tcW w:type="dxa" w:w="2340"/>
          </w:tcPr>
          <w:p>
            <w:pPr>
              <w:spacing w:line="240" w:lineRule="auto"/>
            </w:pPr>
            <w:r>
              <w:rPr>
                <w:sz w:val="18"/>
              </w:rPr>
              <w:t>Review</w:t>
            </w:r>
          </w:p>
        </w:tc>
      </w:tr>
      <w:tr>
        <w:tc>
          <w:tcPr>
            <w:tcW w:type="dxa" w:w="2340"/>
          </w:tcPr>
          <w:p>
            <w:pPr>
              <w:spacing w:line="240" w:lineRule="auto"/>
            </w:pPr>
            <w:r>
              <w:rPr>
                <w:sz w:val="18"/>
              </w:rPr>
              <w:t>1.1</w:t>
            </w:r>
          </w:p>
        </w:tc>
        <w:tc>
          <w:tcPr>
            <w:tcW w:type="dxa" w:w="2340"/>
          </w:tcPr>
          <w:p>
            <w:pPr>
              <w:spacing w:line="240" w:lineRule="auto"/>
            </w:pPr>
            <w:r>
              <w:rPr>
                <w:sz w:val="18"/>
              </w:rPr>
              <w:t>Asset/Capability</w:t>
            </w:r>
          </w:p>
        </w:tc>
        <w:tc>
          <w:tcPr>
            <w:tcW w:type="dxa" w:w="2340"/>
          </w:tcPr>
          <w:p>
            <w:pPr>
              <w:spacing w:line="240" w:lineRule="auto"/>
            </w:pPr>
            <w:r>
              <w:rPr>
                <w:sz w:val="18"/>
              </w:rPr>
              <w:t>Bilbao-Ubillos et al. (2024)</w:t>
            </w:r>
          </w:p>
        </w:tc>
        <w:tc>
          <w:tcPr>
            <w:tcW w:type="dxa" w:w="2340"/>
          </w:tcPr>
          <w:p>
            <w:pPr>
              <w:spacing w:line="240" w:lineRule="auto"/>
            </w:pPr>
            <w:r>
              <w:rPr>
                <w:sz w:val="18"/>
              </w:rPr>
              <w:t>Review</w:t>
            </w:r>
          </w:p>
        </w:tc>
      </w:tr>
      <w:tr>
        <w:tc>
          <w:tcPr>
            <w:tcW w:type="dxa" w:w="2340"/>
          </w:tcPr>
          <w:p>
            <w:pPr>
              <w:spacing w:line="240" w:lineRule="auto"/>
            </w:pPr>
            <w:r>
              <w:rPr>
                <w:sz w:val="18"/>
              </w:rPr>
              <w:t>1.1</w:t>
            </w:r>
          </w:p>
        </w:tc>
        <w:tc>
          <w:tcPr>
            <w:tcW w:type="dxa" w:w="2340"/>
          </w:tcPr>
          <w:p>
            <w:pPr>
              <w:spacing w:line="240" w:lineRule="auto"/>
            </w:pPr>
            <w:r>
              <w:rPr>
                <w:sz w:val="18"/>
              </w:rPr>
              <w:t>Asset/Capability</w:t>
            </w:r>
          </w:p>
        </w:tc>
        <w:tc>
          <w:tcPr>
            <w:tcW w:type="dxa" w:w="2340"/>
          </w:tcPr>
          <w:p>
            <w:pPr>
              <w:spacing w:line="240" w:lineRule="auto"/>
            </w:pPr>
            <w:r>
              <w:rPr>
                <w:sz w:val="18"/>
              </w:rPr>
              <w:t>D'Ambrosio &amp; Lavoratori (2025)</w:t>
            </w:r>
          </w:p>
        </w:tc>
        <w:tc>
          <w:tcPr>
            <w:tcW w:type="dxa" w:w="2340"/>
          </w:tcPr>
          <w:p>
            <w:pPr>
              <w:spacing w:line="240" w:lineRule="auto"/>
            </w:pPr>
            <w:r>
              <w:rPr>
                <w:sz w:val="18"/>
              </w:rPr>
              <w:t>Conceptual</w:t>
            </w:r>
          </w:p>
        </w:tc>
      </w:tr>
      <w:tr>
        <w:tc>
          <w:tcPr>
            <w:tcW w:type="dxa" w:w="2340"/>
          </w:tcPr>
          <w:p>
            <w:pPr>
              <w:spacing w:line="240" w:lineRule="auto"/>
            </w:pPr>
            <w:r>
              <w:rPr>
                <w:sz w:val="18"/>
              </w:rPr>
              <w:t>1.1</w:t>
            </w:r>
          </w:p>
        </w:tc>
        <w:tc>
          <w:tcPr>
            <w:tcW w:type="dxa" w:w="2340"/>
          </w:tcPr>
          <w:p>
            <w:pPr>
              <w:spacing w:line="240" w:lineRule="auto"/>
            </w:pPr>
            <w:r>
              <w:rPr>
                <w:sz w:val="18"/>
              </w:rPr>
              <w:t>Asset/Capability</w:t>
            </w:r>
          </w:p>
        </w:tc>
        <w:tc>
          <w:tcPr>
            <w:tcW w:type="dxa" w:w="2340"/>
          </w:tcPr>
          <w:p>
            <w:pPr>
              <w:spacing w:line="240" w:lineRule="auto"/>
            </w:pPr>
            <w:r>
              <w:rPr>
                <w:sz w:val="18"/>
              </w:rPr>
              <w:t>Gupta et al. (2023)</w:t>
            </w:r>
          </w:p>
        </w:tc>
        <w:tc>
          <w:tcPr>
            <w:tcW w:type="dxa" w:w="2340"/>
          </w:tcPr>
          <w:p>
            <w:pPr>
              <w:spacing w:line="240" w:lineRule="auto"/>
            </w:pPr>
            <w:r>
              <w:rPr>
                <w:sz w:val="18"/>
              </w:rPr>
              <w:t>Conceptual</w:t>
            </w:r>
          </w:p>
        </w:tc>
      </w:tr>
      <w:tr>
        <w:tc>
          <w:tcPr>
            <w:tcW w:type="dxa" w:w="2340"/>
          </w:tcPr>
          <w:p>
            <w:pPr>
              <w:spacing w:line="240" w:lineRule="auto"/>
            </w:pPr>
            <w:r>
              <w:rPr>
                <w:sz w:val="18"/>
              </w:rPr>
              <w:t>1.2</w:t>
            </w:r>
          </w:p>
        </w:tc>
        <w:tc>
          <w:tcPr>
            <w:tcW w:type="dxa" w:w="2340"/>
          </w:tcPr>
          <w:p>
            <w:pPr>
              <w:spacing w:line="240" w:lineRule="auto"/>
            </w:pPr>
            <w:r>
              <w:rPr>
                <w:sz w:val="18"/>
              </w:rPr>
              <w:t>Asset/Capability</w:t>
            </w:r>
          </w:p>
        </w:tc>
        <w:tc>
          <w:tcPr>
            <w:tcW w:type="dxa" w:w="2340"/>
          </w:tcPr>
          <w:p>
            <w:pPr>
              <w:spacing w:line="240" w:lineRule="auto"/>
            </w:pPr>
            <w:r>
              <w:rPr>
                <w:sz w:val="18"/>
              </w:rPr>
              <w:t>Pegoraro et al. (2022)</w:t>
            </w:r>
          </w:p>
        </w:tc>
        <w:tc>
          <w:tcPr>
            <w:tcW w:type="dxa" w:w="2340"/>
          </w:tcPr>
          <w:p>
            <w:pPr>
              <w:spacing w:line="240" w:lineRule="auto"/>
            </w:pPr>
            <w:r>
              <w:rPr>
                <w:sz w:val="18"/>
              </w:rPr>
              <w:t>Direct empirical (single case, China→UK)</w:t>
            </w:r>
          </w:p>
        </w:tc>
      </w:tr>
      <w:tr>
        <w:tc>
          <w:tcPr>
            <w:tcW w:type="dxa" w:w="2340"/>
          </w:tcPr>
          <w:p>
            <w:pPr>
              <w:spacing w:line="240" w:lineRule="auto"/>
            </w:pPr>
            <w:r>
              <w:rPr>
                <w:sz w:val="18"/>
              </w:rPr>
              <w:t>1.2</w:t>
            </w:r>
          </w:p>
        </w:tc>
        <w:tc>
          <w:tcPr>
            <w:tcW w:type="dxa" w:w="2340"/>
          </w:tcPr>
          <w:p>
            <w:pPr>
              <w:spacing w:line="240" w:lineRule="auto"/>
            </w:pPr>
            <w:r>
              <w:rPr>
                <w:sz w:val="18"/>
              </w:rPr>
              <w:t>Asset/Capability</w:t>
            </w:r>
          </w:p>
        </w:tc>
        <w:tc>
          <w:tcPr>
            <w:tcW w:type="dxa" w:w="2340"/>
          </w:tcPr>
          <w:p>
            <w:pPr>
              <w:spacing w:line="240" w:lineRule="auto"/>
            </w:pPr>
            <w:r>
              <w:rPr>
                <w:sz w:val="18"/>
              </w:rPr>
              <w:t>Li et al. (2025)</w:t>
            </w:r>
          </w:p>
        </w:tc>
        <w:tc>
          <w:tcPr>
            <w:tcW w:type="dxa" w:w="2340"/>
          </w:tcPr>
          <w:p>
            <w:pPr>
              <w:spacing w:line="240" w:lineRule="auto"/>
            </w:pPr>
            <w:r>
              <w:rPr>
                <w:sz w:val="18"/>
              </w:rPr>
              <w:t>Direct empirical (general Nordic/Swedish)</w:t>
            </w:r>
          </w:p>
        </w:tc>
      </w:tr>
      <w:tr>
        <w:tc>
          <w:tcPr>
            <w:tcW w:type="dxa" w:w="2340"/>
          </w:tcPr>
          <w:p>
            <w:pPr>
              <w:spacing w:line="240" w:lineRule="auto"/>
            </w:pPr>
            <w:r>
              <w:rPr>
                <w:sz w:val="18"/>
              </w:rPr>
              <w:t>1.2</w:t>
            </w:r>
          </w:p>
        </w:tc>
        <w:tc>
          <w:tcPr>
            <w:tcW w:type="dxa" w:w="2340"/>
          </w:tcPr>
          <w:p>
            <w:pPr>
              <w:spacing w:line="240" w:lineRule="auto"/>
            </w:pPr>
            <w:r>
              <w:rPr>
                <w:sz w:val="18"/>
              </w:rPr>
              <w:t>Asset/Capability</w:t>
            </w:r>
          </w:p>
        </w:tc>
        <w:tc>
          <w:tcPr>
            <w:tcW w:type="dxa" w:w="2340"/>
          </w:tcPr>
          <w:p>
            <w:pPr>
              <w:spacing w:line="240" w:lineRule="auto"/>
            </w:pPr>
            <w:r>
              <w:rPr>
                <w:sz w:val="18"/>
              </w:rPr>
              <w:t>Mirzaei et al. (2021)</w:t>
            </w:r>
          </w:p>
        </w:tc>
        <w:tc>
          <w:tcPr>
            <w:tcW w:type="dxa" w:w="2340"/>
          </w:tcPr>
          <w:p>
            <w:pPr>
              <w:spacing w:line="240" w:lineRule="auto"/>
            </w:pPr>
            <w:r>
              <w:rPr>
                <w:sz w:val="18"/>
              </w:rPr>
              <w:t>Direct empirical (general Swedish)</w:t>
            </w:r>
          </w:p>
        </w:tc>
      </w:tr>
      <w:tr>
        <w:tc>
          <w:tcPr>
            <w:tcW w:type="dxa" w:w="2340"/>
          </w:tcPr>
          <w:p>
            <w:pPr>
              <w:spacing w:line="240" w:lineRule="auto"/>
            </w:pPr>
            <w:r>
              <w:rPr>
                <w:sz w:val="18"/>
              </w:rPr>
              <w:t>1.2</w:t>
            </w:r>
          </w:p>
        </w:tc>
        <w:tc>
          <w:tcPr>
            <w:tcW w:type="dxa" w:w="2340"/>
          </w:tcPr>
          <w:p>
            <w:pPr>
              <w:spacing w:line="240" w:lineRule="auto"/>
            </w:pPr>
            <w:r>
              <w:rPr>
                <w:sz w:val="18"/>
              </w:rPr>
              <w:t>Asset/Capability</w:t>
            </w:r>
          </w:p>
        </w:tc>
        <w:tc>
          <w:tcPr>
            <w:tcW w:type="dxa" w:w="2340"/>
          </w:tcPr>
          <w:p>
            <w:pPr>
              <w:spacing w:line="240" w:lineRule="auto"/>
            </w:pPr>
            <w:r>
              <w:rPr>
                <w:sz w:val="18"/>
              </w:rPr>
              <w:t>Wiesmann et al. (2017)</w:t>
            </w:r>
          </w:p>
        </w:tc>
        <w:tc>
          <w:tcPr>
            <w:tcW w:type="dxa" w:w="2340"/>
          </w:tcPr>
          <w:p>
            <w:pPr>
              <w:spacing w:line="240" w:lineRule="auto"/>
            </w:pPr>
            <w:r>
              <w:rPr>
                <w:sz w:val="18"/>
              </w:rPr>
              <w:t>Review</w:t>
            </w:r>
          </w:p>
        </w:tc>
      </w:tr>
      <w:tr>
        <w:tc>
          <w:tcPr>
            <w:tcW w:type="dxa" w:w="2340"/>
          </w:tcPr>
          <w:p>
            <w:pPr>
              <w:spacing w:line="240" w:lineRule="auto"/>
            </w:pPr>
            <w:r>
              <w:rPr>
                <w:sz w:val="18"/>
              </w:rPr>
              <w:t>1.2</w:t>
            </w:r>
          </w:p>
        </w:tc>
        <w:tc>
          <w:tcPr>
            <w:tcW w:type="dxa" w:w="2340"/>
          </w:tcPr>
          <w:p>
            <w:pPr>
              <w:spacing w:line="240" w:lineRule="auto"/>
            </w:pPr>
            <w:r>
              <w:rPr>
                <w:sz w:val="18"/>
              </w:rPr>
              <w:t>Asset/Capability</w:t>
            </w:r>
          </w:p>
        </w:tc>
        <w:tc>
          <w:tcPr>
            <w:tcW w:type="dxa" w:w="2340"/>
          </w:tcPr>
          <w:p>
            <w:pPr>
              <w:spacing w:line="240" w:lineRule="auto"/>
            </w:pPr>
            <w:r>
              <w:rPr>
                <w:sz w:val="18"/>
              </w:rPr>
              <w:t>D'Ambrosio &amp; Lavoratori (2025)</w:t>
            </w:r>
          </w:p>
        </w:tc>
        <w:tc>
          <w:tcPr>
            <w:tcW w:type="dxa" w:w="2340"/>
          </w:tcPr>
          <w:p>
            <w:pPr>
              <w:spacing w:line="240" w:lineRule="auto"/>
            </w:pPr>
            <w:r>
              <w:rPr>
                <w:sz w:val="18"/>
              </w:rPr>
              <w:t>Conceptual</w:t>
            </w:r>
          </w:p>
        </w:tc>
      </w:tr>
      <w:tr>
        <w:tc>
          <w:tcPr>
            <w:tcW w:type="dxa" w:w="2340"/>
          </w:tcPr>
          <w:p>
            <w:pPr>
              <w:spacing w:line="240" w:lineRule="auto"/>
            </w:pPr>
            <w:r>
              <w:rPr>
                <w:sz w:val="18"/>
              </w:rPr>
              <w:t>1.2</w:t>
            </w:r>
          </w:p>
        </w:tc>
        <w:tc>
          <w:tcPr>
            <w:tcW w:type="dxa" w:w="2340"/>
          </w:tcPr>
          <w:p>
            <w:pPr>
              <w:spacing w:line="240" w:lineRule="auto"/>
            </w:pPr>
            <w:r>
              <w:rPr>
                <w:sz w:val="18"/>
              </w:rPr>
              <w:t>Asset/Capability</w:t>
            </w:r>
          </w:p>
        </w:tc>
        <w:tc>
          <w:tcPr>
            <w:tcW w:type="dxa" w:w="2340"/>
          </w:tcPr>
          <w:p>
            <w:pPr>
              <w:spacing w:line="240" w:lineRule="auto"/>
            </w:pPr>
            <w:r>
              <w:rPr>
                <w:sz w:val="18"/>
              </w:rPr>
              <w:t>Gupta et al. (2023)</w:t>
            </w:r>
          </w:p>
        </w:tc>
        <w:tc>
          <w:tcPr>
            <w:tcW w:type="dxa" w:w="2340"/>
          </w:tcPr>
          <w:p>
            <w:pPr>
              <w:spacing w:line="240" w:lineRule="auto"/>
            </w:pPr>
            <w:r>
              <w:rPr>
                <w:sz w:val="18"/>
              </w:rPr>
              <w:t>Conceptual</w:t>
            </w:r>
          </w:p>
        </w:tc>
      </w:tr>
      <w:tr>
        <w:tc>
          <w:tcPr>
            <w:tcW w:type="dxa" w:w="2340"/>
          </w:tcPr>
          <w:p>
            <w:pPr>
              <w:spacing w:line="240" w:lineRule="auto"/>
            </w:pPr>
            <w:r>
              <w:rPr>
                <w:sz w:val="18"/>
              </w:rPr>
              <w:t>1.3</w:t>
            </w:r>
          </w:p>
        </w:tc>
        <w:tc>
          <w:tcPr>
            <w:tcW w:type="dxa" w:w="2340"/>
          </w:tcPr>
          <w:p>
            <w:pPr>
              <w:spacing w:line="240" w:lineRule="auto"/>
            </w:pPr>
            <w:r>
              <w:rPr>
                <w:sz w:val="18"/>
              </w:rPr>
              <w:t>Asset/Capability</w:t>
            </w:r>
          </w:p>
        </w:tc>
        <w:tc>
          <w:tcPr>
            <w:tcW w:type="dxa" w:w="2340"/>
          </w:tcPr>
          <w:p>
            <w:pPr>
              <w:spacing w:line="240" w:lineRule="auto"/>
            </w:pPr>
            <w:r>
              <w:rPr>
                <w:sz w:val="18"/>
              </w:rPr>
              <w:t>Pedroletti (2025)</w:t>
            </w:r>
          </w:p>
        </w:tc>
        <w:tc>
          <w:tcPr>
            <w:tcW w:type="dxa" w:w="2340"/>
          </w:tcPr>
          <w:p>
            <w:pPr>
              <w:spacing w:line="240" w:lineRule="auto"/>
            </w:pPr>
            <w:r>
              <w:rPr>
                <w:sz w:val="18"/>
              </w:rPr>
              <w:t>Direct empirical (single case, China→Italy)</w:t>
            </w:r>
          </w:p>
        </w:tc>
      </w:tr>
      <w:tr>
        <w:tc>
          <w:tcPr>
            <w:tcW w:type="dxa" w:w="2340"/>
          </w:tcPr>
          <w:p>
            <w:pPr>
              <w:spacing w:line="240" w:lineRule="auto"/>
            </w:pPr>
            <w:r>
              <w:rPr>
                <w:sz w:val="18"/>
              </w:rPr>
              <w:t>1.3</w:t>
            </w:r>
          </w:p>
        </w:tc>
        <w:tc>
          <w:tcPr>
            <w:tcW w:type="dxa" w:w="2340"/>
          </w:tcPr>
          <w:p>
            <w:pPr>
              <w:spacing w:line="240" w:lineRule="auto"/>
            </w:pPr>
            <w:r>
              <w:rPr>
                <w:sz w:val="18"/>
              </w:rPr>
              <w:t>Asset/Capability</w:t>
            </w:r>
          </w:p>
        </w:tc>
        <w:tc>
          <w:tcPr>
            <w:tcW w:type="dxa" w:w="2340"/>
          </w:tcPr>
          <w:p>
            <w:pPr>
              <w:spacing w:line="240" w:lineRule="auto"/>
            </w:pPr>
            <w:r>
              <w:rPr>
                <w:sz w:val="18"/>
              </w:rPr>
              <w:t>Li et al. (2025)</w:t>
            </w:r>
          </w:p>
        </w:tc>
        <w:tc>
          <w:tcPr>
            <w:tcW w:type="dxa" w:w="2340"/>
          </w:tcPr>
          <w:p>
            <w:pPr>
              <w:spacing w:line="240" w:lineRule="auto"/>
            </w:pPr>
            <w:r>
              <w:rPr>
                <w:sz w:val="18"/>
              </w:rPr>
              <w:t>Direct empirical (general Nordic/Swedish)</w:t>
            </w:r>
          </w:p>
        </w:tc>
      </w:tr>
      <w:tr>
        <w:tc>
          <w:tcPr>
            <w:tcW w:type="dxa" w:w="2340"/>
          </w:tcPr>
          <w:p>
            <w:pPr>
              <w:spacing w:line="240" w:lineRule="auto"/>
            </w:pPr>
            <w:r>
              <w:rPr>
                <w:sz w:val="18"/>
              </w:rPr>
              <w:t>1.3</w:t>
            </w:r>
          </w:p>
        </w:tc>
        <w:tc>
          <w:tcPr>
            <w:tcW w:type="dxa" w:w="2340"/>
          </w:tcPr>
          <w:p>
            <w:pPr>
              <w:spacing w:line="240" w:lineRule="auto"/>
            </w:pPr>
            <w:r>
              <w:rPr>
                <w:sz w:val="18"/>
              </w:rPr>
              <w:t>Asset/Capability</w:t>
            </w:r>
          </w:p>
        </w:tc>
        <w:tc>
          <w:tcPr>
            <w:tcW w:type="dxa" w:w="2340"/>
          </w:tcPr>
          <w:p>
            <w:pPr>
              <w:spacing w:line="240" w:lineRule="auto"/>
            </w:pPr>
            <w:r>
              <w:rPr>
                <w:sz w:val="18"/>
              </w:rPr>
              <w:t>Wiesmann et al. (2017)</w:t>
            </w:r>
          </w:p>
        </w:tc>
        <w:tc>
          <w:tcPr>
            <w:tcW w:type="dxa" w:w="2340"/>
          </w:tcPr>
          <w:p>
            <w:pPr>
              <w:spacing w:line="240" w:lineRule="auto"/>
            </w:pPr>
            <w:r>
              <w:rPr>
                <w:sz w:val="18"/>
              </w:rPr>
              <w:t>Review</w:t>
            </w:r>
          </w:p>
        </w:tc>
      </w:tr>
      <w:tr>
        <w:tc>
          <w:tcPr>
            <w:tcW w:type="dxa" w:w="2340"/>
          </w:tcPr>
          <w:p>
            <w:pPr>
              <w:spacing w:line="240" w:lineRule="auto"/>
            </w:pPr>
            <w:r>
              <w:rPr>
                <w:sz w:val="18"/>
              </w:rPr>
              <w:t>1.3</w:t>
            </w:r>
          </w:p>
        </w:tc>
        <w:tc>
          <w:tcPr>
            <w:tcW w:type="dxa" w:w="2340"/>
          </w:tcPr>
          <w:p>
            <w:pPr>
              <w:spacing w:line="240" w:lineRule="auto"/>
            </w:pPr>
            <w:r>
              <w:rPr>
                <w:sz w:val="18"/>
              </w:rPr>
              <w:t>Asset/Capability</w:t>
            </w:r>
          </w:p>
        </w:tc>
        <w:tc>
          <w:tcPr>
            <w:tcW w:type="dxa" w:w="2340"/>
          </w:tcPr>
          <w:p>
            <w:pPr>
              <w:spacing w:line="240" w:lineRule="auto"/>
            </w:pPr>
            <w:r>
              <w:rPr>
                <w:sz w:val="18"/>
              </w:rPr>
              <w:t>Bilbao-Ubillos et al. (2024)</w:t>
            </w:r>
          </w:p>
        </w:tc>
        <w:tc>
          <w:tcPr>
            <w:tcW w:type="dxa" w:w="2340"/>
          </w:tcPr>
          <w:p>
            <w:pPr>
              <w:spacing w:line="240" w:lineRule="auto"/>
            </w:pPr>
            <w:r>
              <w:rPr>
                <w:sz w:val="18"/>
              </w:rPr>
              <w:t>Review</w:t>
            </w:r>
          </w:p>
        </w:tc>
      </w:tr>
      <w:tr>
        <w:tc>
          <w:tcPr>
            <w:tcW w:type="dxa" w:w="2340"/>
          </w:tcPr>
          <w:p>
            <w:pPr>
              <w:spacing w:line="240" w:lineRule="auto"/>
            </w:pPr>
            <w:r>
              <w:rPr>
                <w:sz w:val="18"/>
              </w:rPr>
              <w:t>1.3</w:t>
            </w:r>
          </w:p>
        </w:tc>
        <w:tc>
          <w:tcPr>
            <w:tcW w:type="dxa" w:w="2340"/>
          </w:tcPr>
          <w:p>
            <w:pPr>
              <w:spacing w:line="240" w:lineRule="auto"/>
            </w:pPr>
            <w:r>
              <w:rPr>
                <w:sz w:val="18"/>
              </w:rPr>
              <w:t>Asset/Capability</w:t>
            </w:r>
          </w:p>
        </w:tc>
        <w:tc>
          <w:tcPr>
            <w:tcW w:type="dxa" w:w="2340"/>
          </w:tcPr>
          <w:p>
            <w:pPr>
              <w:spacing w:line="240" w:lineRule="auto"/>
            </w:pPr>
            <w:r>
              <w:rPr>
                <w:sz w:val="18"/>
              </w:rPr>
              <w:t>Gupta et al. (2023)</w:t>
            </w:r>
          </w:p>
        </w:tc>
        <w:tc>
          <w:tcPr>
            <w:tcW w:type="dxa" w:w="2340"/>
          </w:tcPr>
          <w:p>
            <w:pPr>
              <w:spacing w:line="240" w:lineRule="auto"/>
            </w:pPr>
            <w:r>
              <w:rPr>
                <w:sz w:val="18"/>
              </w:rPr>
              <w:t>Conceptual</w:t>
            </w:r>
          </w:p>
        </w:tc>
      </w:tr>
      <w:tr>
        <w:tc>
          <w:tcPr>
            <w:tcW w:type="dxa" w:w="2340"/>
          </w:tcPr>
          <w:p>
            <w:pPr>
              <w:spacing w:line="240" w:lineRule="auto"/>
            </w:pPr>
            <w:r>
              <w:rPr>
                <w:sz w:val="18"/>
              </w:rPr>
              <w:t>1.4</w:t>
            </w:r>
          </w:p>
        </w:tc>
        <w:tc>
          <w:tcPr>
            <w:tcW w:type="dxa" w:w="2340"/>
          </w:tcPr>
          <w:p>
            <w:pPr>
              <w:spacing w:line="240" w:lineRule="auto"/>
            </w:pPr>
            <w:r>
              <w:rPr>
                <w:sz w:val="18"/>
              </w:rPr>
              <w:t>Asset/Capability</w:t>
            </w:r>
          </w:p>
        </w:tc>
        <w:tc>
          <w:tcPr>
            <w:tcW w:type="dxa" w:w="2340"/>
          </w:tcPr>
          <w:p>
            <w:pPr>
              <w:spacing w:line="240" w:lineRule="auto"/>
            </w:pPr>
            <w:r>
              <w:rPr>
                <w:sz w:val="18"/>
              </w:rPr>
              <w:t>Bilbao-Ubillos et al. (2024)</w:t>
            </w:r>
          </w:p>
        </w:tc>
        <w:tc>
          <w:tcPr>
            <w:tcW w:type="dxa" w:w="2340"/>
          </w:tcPr>
          <w:p>
            <w:pPr>
              <w:spacing w:line="240" w:lineRule="auto"/>
            </w:pPr>
            <w:r>
              <w:rPr>
                <w:sz w:val="18"/>
              </w:rPr>
              <w:t>Review</w:t>
            </w:r>
          </w:p>
        </w:tc>
      </w:tr>
      <w:tr>
        <w:tc>
          <w:tcPr>
            <w:tcW w:type="dxa" w:w="2340"/>
          </w:tcPr>
          <w:p>
            <w:pPr>
              <w:spacing w:line="240" w:lineRule="auto"/>
            </w:pPr>
            <w:r>
              <w:rPr>
                <w:sz w:val="18"/>
              </w:rPr>
              <w:t>1.4</w:t>
            </w:r>
          </w:p>
        </w:tc>
        <w:tc>
          <w:tcPr>
            <w:tcW w:type="dxa" w:w="2340"/>
          </w:tcPr>
          <w:p>
            <w:pPr>
              <w:spacing w:line="240" w:lineRule="auto"/>
            </w:pPr>
            <w:r>
              <w:rPr>
                <w:sz w:val="18"/>
              </w:rPr>
              <w:t>Asset/Capability</w:t>
            </w:r>
          </w:p>
        </w:tc>
        <w:tc>
          <w:tcPr>
            <w:tcW w:type="dxa" w:w="2340"/>
          </w:tcPr>
          <w:p>
            <w:pPr>
              <w:spacing w:line="240" w:lineRule="auto"/>
            </w:pPr>
            <w:r>
              <w:rPr>
                <w:sz w:val="18"/>
              </w:rPr>
              <w:t>D'Ambrosio &amp; Lavoratori (2025)</w:t>
            </w:r>
          </w:p>
        </w:tc>
        <w:tc>
          <w:tcPr>
            <w:tcW w:type="dxa" w:w="2340"/>
          </w:tcPr>
          <w:p>
            <w:pPr>
              <w:spacing w:line="240" w:lineRule="auto"/>
            </w:pPr>
            <w:r>
              <w:rPr>
                <w:sz w:val="18"/>
              </w:rPr>
              <w:t>Conceptual (core argument)</w:t>
            </w:r>
          </w:p>
        </w:tc>
      </w:tr>
      <w:tr>
        <w:tc>
          <w:tcPr>
            <w:tcW w:type="dxa" w:w="2340"/>
          </w:tcPr>
          <w:p>
            <w:pPr>
              <w:spacing w:line="240" w:lineRule="auto"/>
            </w:pPr>
            <w:r>
              <w:rPr>
                <w:sz w:val="18"/>
              </w:rPr>
              <w:t>1.5</w:t>
            </w:r>
          </w:p>
        </w:tc>
        <w:tc>
          <w:tcPr>
            <w:tcW w:type="dxa" w:w="2340"/>
          </w:tcPr>
          <w:p>
            <w:pPr>
              <w:spacing w:line="240" w:lineRule="auto"/>
            </w:pPr>
            <w:r>
              <w:rPr>
                <w:sz w:val="18"/>
              </w:rPr>
              <w:t>Asset/Capability</w:t>
            </w:r>
          </w:p>
        </w:tc>
        <w:tc>
          <w:tcPr>
            <w:tcW w:type="dxa" w:w="2340"/>
          </w:tcPr>
          <w:p>
            <w:pPr>
              <w:spacing w:line="240" w:lineRule="auto"/>
            </w:pPr>
            <w:r>
              <w:rPr>
                <w:sz w:val="18"/>
              </w:rPr>
              <w:t>Pegoraro et al. (2022)</w:t>
            </w:r>
          </w:p>
        </w:tc>
        <w:tc>
          <w:tcPr>
            <w:tcW w:type="dxa" w:w="2340"/>
          </w:tcPr>
          <w:p>
            <w:pPr>
              <w:spacing w:line="240" w:lineRule="auto"/>
            </w:pPr>
            <w:r>
              <w:rPr>
                <w:sz w:val="18"/>
              </w:rPr>
              <w:t>Direct empirical (single case, China→UK)</w:t>
            </w:r>
          </w:p>
        </w:tc>
      </w:tr>
      <w:tr>
        <w:tc>
          <w:tcPr>
            <w:tcW w:type="dxa" w:w="2340"/>
          </w:tcPr>
          <w:p>
            <w:pPr>
              <w:spacing w:line="240" w:lineRule="auto"/>
            </w:pPr>
            <w:r>
              <w:rPr>
                <w:sz w:val="18"/>
              </w:rPr>
              <w:t>1.5</w:t>
            </w:r>
          </w:p>
        </w:tc>
        <w:tc>
          <w:tcPr>
            <w:tcW w:type="dxa" w:w="2340"/>
          </w:tcPr>
          <w:p>
            <w:pPr>
              <w:spacing w:line="240" w:lineRule="auto"/>
            </w:pPr>
            <w:r>
              <w:rPr>
                <w:sz w:val="18"/>
              </w:rPr>
              <w:t>Asset/Capability</w:t>
            </w:r>
          </w:p>
        </w:tc>
        <w:tc>
          <w:tcPr>
            <w:tcW w:type="dxa" w:w="2340"/>
          </w:tcPr>
          <w:p>
            <w:pPr>
              <w:spacing w:line="240" w:lineRule="auto"/>
            </w:pPr>
            <w:r>
              <w:rPr>
                <w:sz w:val="18"/>
              </w:rPr>
              <w:t>Bilbao-Ubillos et al. (2024)</w:t>
            </w:r>
          </w:p>
        </w:tc>
        <w:tc>
          <w:tcPr>
            <w:tcW w:type="dxa" w:w="2340"/>
          </w:tcPr>
          <w:p>
            <w:pPr>
              <w:spacing w:line="240" w:lineRule="auto"/>
            </w:pPr>
            <w:r>
              <w:rPr>
                <w:sz w:val="18"/>
              </w:rPr>
              <w:t>Review</w:t>
            </w:r>
          </w:p>
        </w:tc>
      </w:tr>
      <w:tr>
        <w:tc>
          <w:tcPr>
            <w:tcW w:type="dxa" w:w="2340"/>
          </w:tcPr>
          <w:p>
            <w:pPr>
              <w:spacing w:line="240" w:lineRule="auto"/>
            </w:pPr>
            <w:r>
              <w:rPr>
                <w:sz w:val="18"/>
              </w:rPr>
              <w:t>2.1</w:t>
            </w:r>
          </w:p>
        </w:tc>
        <w:tc>
          <w:tcPr>
            <w:tcW w:type="dxa" w:w="2340"/>
          </w:tcPr>
          <w:p>
            <w:pPr>
              <w:spacing w:line="240" w:lineRule="auto"/>
            </w:pPr>
            <w:r>
              <w:rPr>
                <w:sz w:val="18"/>
              </w:rPr>
              <w:t>Cost/Operational</w:t>
            </w:r>
          </w:p>
        </w:tc>
        <w:tc>
          <w:tcPr>
            <w:tcW w:type="dxa" w:w="2340"/>
          </w:tcPr>
          <w:p>
            <w:pPr>
              <w:spacing w:line="240" w:lineRule="auto"/>
            </w:pPr>
            <w:r>
              <w:rPr>
                <w:sz w:val="18"/>
              </w:rPr>
              <w:t>Mirzaei et al. (2021)</w:t>
            </w:r>
          </w:p>
        </w:tc>
        <w:tc>
          <w:tcPr>
            <w:tcW w:type="dxa" w:w="2340"/>
          </w:tcPr>
          <w:p>
            <w:pPr>
              <w:spacing w:line="240" w:lineRule="auto"/>
            </w:pPr>
            <w:r>
              <w:rPr>
                <w:sz w:val="18"/>
              </w:rPr>
              <w:t>Direct empirical (general Swedish)</w:t>
            </w:r>
          </w:p>
        </w:tc>
      </w:tr>
      <w:tr>
        <w:tc>
          <w:tcPr>
            <w:tcW w:type="dxa" w:w="2340"/>
          </w:tcPr>
          <w:p>
            <w:pPr>
              <w:spacing w:line="240" w:lineRule="auto"/>
            </w:pPr>
            <w:r>
              <w:rPr>
                <w:sz w:val="18"/>
              </w:rPr>
              <w:t>2.1</w:t>
            </w:r>
          </w:p>
        </w:tc>
        <w:tc>
          <w:tcPr>
            <w:tcW w:type="dxa" w:w="2340"/>
          </w:tcPr>
          <w:p>
            <w:pPr>
              <w:spacing w:line="240" w:lineRule="auto"/>
            </w:pPr>
            <w:r>
              <w:rPr>
                <w:sz w:val="18"/>
              </w:rPr>
              <w:t>Cost/Operational</w:t>
            </w:r>
          </w:p>
        </w:tc>
        <w:tc>
          <w:tcPr>
            <w:tcW w:type="dxa" w:w="2340"/>
          </w:tcPr>
          <w:p>
            <w:pPr>
              <w:spacing w:line="240" w:lineRule="auto"/>
            </w:pPr>
            <w:r>
              <w:rPr>
                <w:sz w:val="18"/>
              </w:rPr>
              <w:t>Di Mauro et al. (2018)</w:t>
            </w:r>
          </w:p>
        </w:tc>
        <w:tc>
          <w:tcPr>
            <w:tcW w:type="dxa" w:w="2340"/>
          </w:tcPr>
          <w:p>
            <w:pPr>
              <w:spacing w:line="240" w:lineRule="auto"/>
            </w:pPr>
            <w:r>
              <w:rPr>
                <w:sz w:val="18"/>
              </w:rPr>
              <w:t>Direct empirical (limited; partial China attribution)</w:t>
            </w:r>
          </w:p>
        </w:tc>
      </w:tr>
      <w:tr>
        <w:tc>
          <w:tcPr>
            <w:tcW w:type="dxa" w:w="2340"/>
          </w:tcPr>
          <w:p>
            <w:pPr>
              <w:spacing w:line="240" w:lineRule="auto"/>
            </w:pPr>
            <w:r>
              <w:rPr>
                <w:sz w:val="18"/>
              </w:rPr>
              <w:t>2.1</w:t>
            </w:r>
          </w:p>
        </w:tc>
        <w:tc>
          <w:tcPr>
            <w:tcW w:type="dxa" w:w="2340"/>
          </w:tcPr>
          <w:p>
            <w:pPr>
              <w:spacing w:line="240" w:lineRule="auto"/>
            </w:pPr>
            <w:r>
              <w:rPr>
                <w:sz w:val="18"/>
              </w:rPr>
              <w:t>Cost/Operational</w:t>
            </w:r>
          </w:p>
        </w:tc>
        <w:tc>
          <w:tcPr>
            <w:tcW w:type="dxa" w:w="2340"/>
          </w:tcPr>
          <w:p>
            <w:pPr>
              <w:spacing w:line="240" w:lineRule="auto"/>
            </w:pPr>
            <w:r>
              <w:rPr>
                <w:sz w:val="18"/>
              </w:rPr>
              <w:t>Wiesmann et al. (2017)</w:t>
            </w:r>
          </w:p>
        </w:tc>
        <w:tc>
          <w:tcPr>
            <w:tcW w:type="dxa" w:w="2340"/>
          </w:tcPr>
          <w:p>
            <w:pPr>
              <w:spacing w:line="240" w:lineRule="auto"/>
            </w:pPr>
            <w:r>
              <w:rPr>
                <w:sz w:val="18"/>
              </w:rPr>
              <w:t>Review</w:t>
            </w:r>
          </w:p>
        </w:tc>
      </w:tr>
      <w:tr>
        <w:tc>
          <w:tcPr>
            <w:tcW w:type="dxa" w:w="2340"/>
          </w:tcPr>
          <w:p>
            <w:pPr>
              <w:spacing w:line="240" w:lineRule="auto"/>
            </w:pPr>
            <w:r>
              <w:rPr>
                <w:sz w:val="18"/>
              </w:rPr>
              <w:t>2.1</w:t>
            </w:r>
          </w:p>
        </w:tc>
        <w:tc>
          <w:tcPr>
            <w:tcW w:type="dxa" w:w="2340"/>
          </w:tcPr>
          <w:p>
            <w:pPr>
              <w:spacing w:line="240" w:lineRule="auto"/>
            </w:pPr>
            <w:r>
              <w:rPr>
                <w:sz w:val="18"/>
              </w:rPr>
              <w:t>Cost/Operational</w:t>
            </w:r>
          </w:p>
        </w:tc>
        <w:tc>
          <w:tcPr>
            <w:tcW w:type="dxa" w:w="2340"/>
          </w:tcPr>
          <w:p>
            <w:pPr>
              <w:spacing w:line="240" w:lineRule="auto"/>
            </w:pPr>
            <w:r>
              <w:rPr>
                <w:sz w:val="18"/>
              </w:rPr>
              <w:t>Ocicka (2016)</w:t>
            </w:r>
          </w:p>
        </w:tc>
        <w:tc>
          <w:tcPr>
            <w:tcW w:type="dxa" w:w="2340"/>
          </w:tcPr>
          <w:p>
            <w:pPr>
              <w:spacing w:line="240" w:lineRule="auto"/>
            </w:pPr>
            <w:r>
              <w:rPr>
                <w:sz w:val="18"/>
              </w:rPr>
              <w:t>Review</w:t>
            </w:r>
          </w:p>
        </w:tc>
      </w:tr>
      <w:tr>
        <w:tc>
          <w:tcPr>
            <w:tcW w:type="dxa" w:w="2340"/>
          </w:tcPr>
          <w:p>
            <w:pPr>
              <w:spacing w:line="240" w:lineRule="auto"/>
            </w:pPr>
            <w:r>
              <w:rPr>
                <w:sz w:val="18"/>
              </w:rPr>
              <w:t>2.1</w:t>
            </w:r>
          </w:p>
        </w:tc>
        <w:tc>
          <w:tcPr>
            <w:tcW w:type="dxa" w:w="2340"/>
          </w:tcPr>
          <w:p>
            <w:pPr>
              <w:spacing w:line="240" w:lineRule="auto"/>
            </w:pPr>
            <w:r>
              <w:rPr>
                <w:sz w:val="18"/>
              </w:rPr>
              <w:t>Cost/Operational</w:t>
            </w:r>
          </w:p>
        </w:tc>
        <w:tc>
          <w:tcPr>
            <w:tcW w:type="dxa" w:w="2340"/>
          </w:tcPr>
          <w:p>
            <w:pPr>
              <w:spacing w:line="240" w:lineRule="auto"/>
            </w:pPr>
            <w:r>
              <w:rPr>
                <w:sz w:val="18"/>
              </w:rPr>
              <w:t>Gupta et al. (2023)</w:t>
            </w:r>
          </w:p>
        </w:tc>
        <w:tc>
          <w:tcPr>
            <w:tcW w:type="dxa" w:w="2340"/>
          </w:tcPr>
          <w:p>
            <w:pPr>
              <w:spacing w:line="240" w:lineRule="auto"/>
            </w:pPr>
            <w:r>
              <w:rPr>
                <w:sz w:val="18"/>
              </w:rPr>
              <w:t>Conceptual</w:t>
            </w:r>
          </w:p>
        </w:tc>
      </w:tr>
      <w:tr>
        <w:tc>
          <w:tcPr>
            <w:tcW w:type="dxa" w:w="2340"/>
          </w:tcPr>
          <w:p>
            <w:pPr>
              <w:spacing w:line="240" w:lineRule="auto"/>
            </w:pPr>
            <w:r>
              <w:rPr>
                <w:sz w:val="18"/>
              </w:rPr>
              <w:t>2.2</w:t>
            </w:r>
          </w:p>
        </w:tc>
        <w:tc>
          <w:tcPr>
            <w:tcW w:type="dxa" w:w="2340"/>
          </w:tcPr>
          <w:p>
            <w:pPr>
              <w:spacing w:line="240" w:lineRule="auto"/>
            </w:pPr>
            <w:r>
              <w:rPr>
                <w:sz w:val="18"/>
              </w:rPr>
              <w:t>Cost/Operational</w:t>
            </w:r>
          </w:p>
        </w:tc>
        <w:tc>
          <w:tcPr>
            <w:tcW w:type="dxa" w:w="2340"/>
          </w:tcPr>
          <w:p>
            <w:pPr>
              <w:spacing w:line="240" w:lineRule="auto"/>
            </w:pPr>
            <w:r>
              <w:rPr>
                <w:sz w:val="18"/>
              </w:rPr>
              <w:t>Li et al. (2025)</w:t>
            </w:r>
          </w:p>
        </w:tc>
        <w:tc>
          <w:tcPr>
            <w:tcW w:type="dxa" w:w="2340"/>
          </w:tcPr>
          <w:p>
            <w:pPr>
              <w:spacing w:line="240" w:lineRule="auto"/>
            </w:pPr>
            <w:r>
              <w:rPr>
                <w:sz w:val="18"/>
              </w:rPr>
              <w:t>Direct empirical (only where actual cost difficulties occurred)</w:t>
            </w:r>
          </w:p>
        </w:tc>
      </w:tr>
      <w:tr>
        <w:tc>
          <w:tcPr>
            <w:tcW w:type="dxa" w:w="2340"/>
          </w:tcPr>
          <w:p>
            <w:pPr>
              <w:spacing w:line="240" w:lineRule="auto"/>
            </w:pPr>
            <w:r>
              <w:rPr>
                <w:sz w:val="18"/>
              </w:rPr>
              <w:t>2.2</w:t>
            </w:r>
          </w:p>
        </w:tc>
        <w:tc>
          <w:tcPr>
            <w:tcW w:type="dxa" w:w="2340"/>
          </w:tcPr>
          <w:p>
            <w:pPr>
              <w:spacing w:line="240" w:lineRule="auto"/>
            </w:pPr>
            <w:r>
              <w:rPr>
                <w:sz w:val="18"/>
              </w:rPr>
              <w:t>Cost/Operational</w:t>
            </w:r>
          </w:p>
        </w:tc>
        <w:tc>
          <w:tcPr>
            <w:tcW w:type="dxa" w:w="2340"/>
          </w:tcPr>
          <w:p>
            <w:pPr>
              <w:spacing w:line="240" w:lineRule="auto"/>
            </w:pPr>
            <w:r>
              <w:rPr>
                <w:sz w:val="18"/>
              </w:rPr>
              <w:t>Espíndola et al. (2023)</w:t>
            </w:r>
          </w:p>
        </w:tc>
        <w:tc>
          <w:tcPr>
            <w:tcW w:type="dxa" w:w="2340"/>
          </w:tcPr>
          <w:p>
            <w:pPr>
              <w:spacing w:line="240" w:lineRule="auto"/>
            </w:pPr>
            <w:r>
              <w:rPr>
                <w:sz w:val="18"/>
              </w:rPr>
              <w:t>Review</w:t>
            </w:r>
          </w:p>
        </w:tc>
      </w:tr>
      <w:tr>
        <w:tc>
          <w:tcPr>
            <w:tcW w:type="dxa" w:w="2340"/>
          </w:tcPr>
          <w:p>
            <w:pPr>
              <w:spacing w:line="240" w:lineRule="auto"/>
            </w:pPr>
            <w:r>
              <w:rPr>
                <w:sz w:val="18"/>
              </w:rPr>
              <w:t>2.2</w:t>
            </w:r>
          </w:p>
        </w:tc>
        <w:tc>
          <w:tcPr>
            <w:tcW w:type="dxa" w:w="2340"/>
          </w:tcPr>
          <w:p>
            <w:pPr>
              <w:spacing w:line="240" w:lineRule="auto"/>
            </w:pPr>
            <w:r>
              <w:rPr>
                <w:sz w:val="18"/>
              </w:rPr>
              <w:t>Cost/Operational</w:t>
            </w:r>
          </w:p>
        </w:tc>
        <w:tc>
          <w:tcPr>
            <w:tcW w:type="dxa" w:w="2340"/>
          </w:tcPr>
          <w:p>
            <w:pPr>
              <w:spacing w:line="240" w:lineRule="auto"/>
            </w:pPr>
            <w:r>
              <w:rPr>
                <w:sz w:val="18"/>
              </w:rPr>
              <w:t>D'Ambrosio &amp; Lavoratori (2025)</w:t>
            </w:r>
          </w:p>
        </w:tc>
        <w:tc>
          <w:tcPr>
            <w:tcW w:type="dxa" w:w="2340"/>
          </w:tcPr>
          <w:p>
            <w:pPr>
              <w:spacing w:line="240" w:lineRule="auto"/>
            </w:pPr>
            <w:r>
              <w:rPr>
                <w:sz w:val="18"/>
              </w:rPr>
              <w:t>Conceptual</w:t>
            </w:r>
          </w:p>
        </w:tc>
      </w:tr>
      <w:tr>
        <w:tc>
          <w:tcPr>
            <w:tcW w:type="dxa" w:w="2340"/>
          </w:tcPr>
          <w:p>
            <w:pPr>
              <w:spacing w:line="240" w:lineRule="auto"/>
            </w:pPr>
            <w:r>
              <w:rPr>
                <w:sz w:val="18"/>
              </w:rPr>
              <w:t>2.2</w:t>
            </w:r>
          </w:p>
        </w:tc>
        <w:tc>
          <w:tcPr>
            <w:tcW w:type="dxa" w:w="2340"/>
          </w:tcPr>
          <w:p>
            <w:pPr>
              <w:spacing w:line="240" w:lineRule="auto"/>
            </w:pPr>
            <w:r>
              <w:rPr>
                <w:sz w:val="18"/>
              </w:rPr>
              <w:t>Cost/Operational</w:t>
            </w:r>
          </w:p>
        </w:tc>
        <w:tc>
          <w:tcPr>
            <w:tcW w:type="dxa" w:w="2340"/>
          </w:tcPr>
          <w:p>
            <w:pPr>
              <w:spacing w:line="240" w:lineRule="auto"/>
            </w:pPr>
            <w:r>
              <w:rPr>
                <w:sz w:val="18"/>
              </w:rPr>
              <w:t>Gupta et al. (2023)</w:t>
            </w:r>
          </w:p>
        </w:tc>
        <w:tc>
          <w:tcPr>
            <w:tcW w:type="dxa" w:w="2340"/>
          </w:tcPr>
          <w:p>
            <w:pPr>
              <w:spacing w:line="240" w:lineRule="auto"/>
            </w:pPr>
            <w:r>
              <w:rPr>
                <w:sz w:val="18"/>
              </w:rPr>
              <w:t>Conceptual</w:t>
            </w:r>
          </w:p>
        </w:tc>
      </w:tr>
      <w:tr>
        <w:tc>
          <w:tcPr>
            <w:tcW w:type="dxa" w:w="2340"/>
          </w:tcPr>
          <w:p>
            <w:pPr>
              <w:spacing w:line="240" w:lineRule="auto"/>
            </w:pPr>
            <w:r>
              <w:rPr>
                <w:sz w:val="18"/>
              </w:rPr>
              <w:t>2.3</w:t>
            </w:r>
          </w:p>
        </w:tc>
        <w:tc>
          <w:tcPr>
            <w:tcW w:type="dxa" w:w="2340"/>
          </w:tcPr>
          <w:p>
            <w:pPr>
              <w:spacing w:line="240" w:lineRule="auto"/>
            </w:pPr>
            <w:r>
              <w:rPr>
                <w:sz w:val="18"/>
              </w:rPr>
              <w:t>Cost/Operational</w:t>
            </w:r>
          </w:p>
        </w:tc>
        <w:tc>
          <w:tcPr>
            <w:tcW w:type="dxa" w:w="2340"/>
          </w:tcPr>
          <w:p>
            <w:pPr>
              <w:spacing w:line="240" w:lineRule="auto"/>
            </w:pPr>
            <w:r>
              <w:rPr>
                <w:sz w:val="18"/>
              </w:rPr>
              <w:t>Mirzaei et al. (2021)</w:t>
            </w:r>
          </w:p>
        </w:tc>
        <w:tc>
          <w:tcPr>
            <w:tcW w:type="dxa" w:w="2340"/>
          </w:tcPr>
          <w:p>
            <w:pPr>
              <w:spacing w:line="240" w:lineRule="auto"/>
            </w:pPr>
            <w:r>
              <w:rPr>
                <w:sz w:val="18"/>
              </w:rPr>
              <w:t>Direct empirical (labour cost named by all five firms)</w:t>
            </w:r>
          </w:p>
        </w:tc>
      </w:tr>
      <w:tr>
        <w:tc>
          <w:tcPr>
            <w:tcW w:type="dxa" w:w="2340"/>
          </w:tcPr>
          <w:p>
            <w:pPr>
              <w:spacing w:line="240" w:lineRule="auto"/>
            </w:pPr>
            <w:r>
              <w:rPr>
                <w:sz w:val="18"/>
              </w:rPr>
              <w:t>2.3</w:t>
            </w:r>
          </w:p>
        </w:tc>
        <w:tc>
          <w:tcPr>
            <w:tcW w:type="dxa" w:w="2340"/>
          </w:tcPr>
          <w:p>
            <w:pPr>
              <w:spacing w:line="240" w:lineRule="auto"/>
            </w:pPr>
            <w:r>
              <w:rPr>
                <w:sz w:val="18"/>
              </w:rPr>
              <w:t>Cost/Operational</w:t>
            </w:r>
          </w:p>
        </w:tc>
        <w:tc>
          <w:tcPr>
            <w:tcW w:type="dxa" w:w="2340"/>
          </w:tcPr>
          <w:p>
            <w:pPr>
              <w:spacing w:line="240" w:lineRule="auto"/>
            </w:pPr>
            <w:r>
              <w:rPr>
                <w:sz w:val="18"/>
              </w:rPr>
              <w:t>Li et al. (2025)</w:t>
            </w:r>
          </w:p>
        </w:tc>
        <w:tc>
          <w:tcPr>
            <w:tcW w:type="dxa" w:w="2340"/>
          </w:tcPr>
          <w:p>
            <w:pPr>
              <w:spacing w:line="240" w:lineRule="auto"/>
            </w:pPr>
            <w:r>
              <w:rPr>
                <w:sz w:val="18"/>
              </w:rPr>
              <w:t>Direct empirical (general Nordic/Swedish)</w:t>
            </w:r>
          </w:p>
        </w:tc>
      </w:tr>
      <w:tr>
        <w:tc>
          <w:tcPr>
            <w:tcW w:type="dxa" w:w="2340"/>
          </w:tcPr>
          <w:p>
            <w:pPr>
              <w:spacing w:line="240" w:lineRule="auto"/>
            </w:pPr>
            <w:r>
              <w:rPr>
                <w:sz w:val="18"/>
              </w:rPr>
              <w:t>2.3</w:t>
            </w:r>
          </w:p>
        </w:tc>
        <w:tc>
          <w:tcPr>
            <w:tcW w:type="dxa" w:w="2340"/>
          </w:tcPr>
          <w:p>
            <w:pPr>
              <w:spacing w:line="240" w:lineRule="auto"/>
            </w:pPr>
            <w:r>
              <w:rPr>
                <w:sz w:val="18"/>
              </w:rPr>
              <w:t>Cost/Operational</w:t>
            </w:r>
          </w:p>
        </w:tc>
        <w:tc>
          <w:tcPr>
            <w:tcW w:type="dxa" w:w="2340"/>
          </w:tcPr>
          <w:p>
            <w:pPr>
              <w:spacing w:line="240" w:lineRule="auto"/>
            </w:pPr>
            <w:r>
              <w:rPr>
                <w:sz w:val="18"/>
              </w:rPr>
              <w:t>D'Ambrosio &amp; Lavoratori (2025)</w:t>
            </w:r>
          </w:p>
        </w:tc>
        <w:tc>
          <w:tcPr>
            <w:tcW w:type="dxa" w:w="2340"/>
          </w:tcPr>
          <w:p>
            <w:pPr>
              <w:spacing w:line="240" w:lineRule="auto"/>
            </w:pPr>
            <w:r>
              <w:rPr>
                <w:sz w:val="18"/>
              </w:rPr>
              <w:t>Conceptual</w:t>
            </w:r>
          </w:p>
        </w:tc>
      </w:tr>
      <w:tr>
        <w:tc>
          <w:tcPr>
            <w:tcW w:type="dxa" w:w="2340"/>
          </w:tcPr>
          <w:p>
            <w:pPr>
              <w:spacing w:line="240" w:lineRule="auto"/>
            </w:pPr>
            <w:r>
              <w:rPr>
                <w:sz w:val="18"/>
              </w:rPr>
              <w:t>2.4</w:t>
            </w:r>
          </w:p>
        </w:tc>
        <w:tc>
          <w:tcPr>
            <w:tcW w:type="dxa" w:w="2340"/>
          </w:tcPr>
          <w:p>
            <w:pPr>
              <w:spacing w:line="240" w:lineRule="auto"/>
            </w:pPr>
            <w:r>
              <w:rPr>
                <w:sz w:val="18"/>
              </w:rPr>
              <w:t>Cost/Operational</w:t>
            </w:r>
          </w:p>
        </w:tc>
        <w:tc>
          <w:tcPr>
            <w:tcW w:type="dxa" w:w="2340"/>
          </w:tcPr>
          <w:p>
            <w:pPr>
              <w:spacing w:line="240" w:lineRule="auto"/>
            </w:pPr>
            <w:r>
              <w:rPr>
                <w:sz w:val="18"/>
              </w:rPr>
              <w:t>Pedroletti (2025)</w:t>
            </w:r>
          </w:p>
        </w:tc>
        <w:tc>
          <w:tcPr>
            <w:tcW w:type="dxa" w:w="2340"/>
          </w:tcPr>
          <w:p>
            <w:pPr>
              <w:spacing w:line="240" w:lineRule="auto"/>
            </w:pPr>
            <w:r>
              <w:rPr>
                <w:sz w:val="18"/>
              </w:rPr>
              <w:t>Direct empirical (single case, China→Italy)</w:t>
            </w:r>
          </w:p>
        </w:tc>
      </w:tr>
      <w:tr>
        <w:tc>
          <w:tcPr>
            <w:tcW w:type="dxa" w:w="2340"/>
          </w:tcPr>
          <w:p>
            <w:pPr>
              <w:spacing w:line="240" w:lineRule="auto"/>
            </w:pPr>
            <w:r>
              <w:rPr>
                <w:sz w:val="18"/>
              </w:rPr>
              <w:t>2.5</w:t>
            </w:r>
          </w:p>
        </w:tc>
        <w:tc>
          <w:tcPr>
            <w:tcW w:type="dxa" w:w="2340"/>
          </w:tcPr>
          <w:p>
            <w:pPr>
              <w:spacing w:line="240" w:lineRule="auto"/>
            </w:pPr>
            <w:r>
              <w:rPr>
                <w:sz w:val="18"/>
              </w:rPr>
              <w:t>Cost/Operational</w:t>
            </w:r>
          </w:p>
        </w:tc>
        <w:tc>
          <w:tcPr>
            <w:tcW w:type="dxa" w:w="2340"/>
          </w:tcPr>
          <w:p>
            <w:pPr>
              <w:spacing w:line="240" w:lineRule="auto"/>
            </w:pPr>
            <w:r>
              <w:rPr>
                <w:sz w:val="18"/>
              </w:rPr>
              <w:t>Boffelli et al. (2021)</w:t>
            </w:r>
          </w:p>
        </w:tc>
        <w:tc>
          <w:tcPr>
            <w:tcW w:type="dxa" w:w="2340"/>
          </w:tcPr>
          <w:p>
            <w:pPr>
              <w:spacing w:line="240" w:lineRule="auto"/>
            </w:pPr>
            <w:r>
              <w:rPr>
                <w:sz w:val="18"/>
              </w:rPr>
              <w:t>Direct empirical (top-rated barrier in study; partial China attribution)</w:t>
            </w:r>
          </w:p>
        </w:tc>
      </w:tr>
      <w:tr>
        <w:tc>
          <w:tcPr>
            <w:tcW w:type="dxa" w:w="2340"/>
          </w:tcPr>
          <w:p>
            <w:pPr>
              <w:spacing w:line="240" w:lineRule="auto"/>
            </w:pPr>
            <w:r>
              <w:rPr>
                <w:sz w:val="18"/>
              </w:rPr>
              <w:t>3.1</w:t>
            </w:r>
          </w:p>
        </w:tc>
        <w:tc>
          <w:tcPr>
            <w:tcW w:type="dxa" w:w="2340"/>
          </w:tcPr>
          <w:p>
            <w:pPr>
              <w:spacing w:line="240" w:lineRule="auto"/>
            </w:pPr>
            <w:r>
              <w:rPr>
                <w:sz w:val="18"/>
              </w:rPr>
              <w:t>Cultural/Organisational</w:t>
            </w:r>
          </w:p>
        </w:tc>
        <w:tc>
          <w:tcPr>
            <w:tcW w:type="dxa" w:w="2340"/>
          </w:tcPr>
          <w:p>
            <w:pPr>
              <w:spacing w:line="240" w:lineRule="auto"/>
            </w:pPr>
            <w:r>
              <w:rPr>
                <w:sz w:val="18"/>
              </w:rPr>
              <w:t>Boffelli et al. (2021)</w:t>
            </w:r>
          </w:p>
        </w:tc>
        <w:tc>
          <w:tcPr>
            <w:tcW w:type="dxa" w:w="2340"/>
          </w:tcPr>
          <w:p>
            <w:pPr>
              <w:spacing w:line="240" w:lineRule="auto"/>
            </w:pPr>
            <w:r>
              <w:rPr>
                <w:sz w:val="18"/>
              </w:rPr>
              <w:t>Direct empirical (partial China attribution)</w:t>
            </w:r>
          </w:p>
        </w:tc>
      </w:tr>
      <w:tr>
        <w:tc>
          <w:tcPr>
            <w:tcW w:type="dxa" w:w="2340"/>
          </w:tcPr>
          <w:p>
            <w:pPr>
              <w:spacing w:line="240" w:lineRule="auto"/>
            </w:pPr>
            <w:r>
              <w:rPr>
                <w:sz w:val="18"/>
              </w:rPr>
              <w:t>3.1</w:t>
            </w:r>
          </w:p>
        </w:tc>
        <w:tc>
          <w:tcPr>
            <w:tcW w:type="dxa" w:w="2340"/>
          </w:tcPr>
          <w:p>
            <w:pPr>
              <w:spacing w:line="240" w:lineRule="auto"/>
            </w:pPr>
            <w:r>
              <w:rPr>
                <w:sz w:val="18"/>
              </w:rPr>
              <w:t>Cultural/Organisational</w:t>
            </w:r>
          </w:p>
        </w:tc>
        <w:tc>
          <w:tcPr>
            <w:tcW w:type="dxa" w:w="2340"/>
          </w:tcPr>
          <w:p>
            <w:pPr>
              <w:spacing w:line="240" w:lineRule="auto"/>
            </w:pPr>
            <w:r>
              <w:rPr>
                <w:sz w:val="18"/>
              </w:rPr>
              <w:t>Wiesmann et al. (2017)</w:t>
            </w:r>
          </w:p>
        </w:tc>
        <w:tc>
          <w:tcPr>
            <w:tcW w:type="dxa" w:w="2340"/>
          </w:tcPr>
          <w:p>
            <w:pPr>
              <w:spacing w:line="240" w:lineRule="auto"/>
            </w:pPr>
            <w:r>
              <w:rPr>
                <w:sz w:val="18"/>
              </w:rPr>
              <w:t>Review</w:t>
            </w:r>
          </w:p>
        </w:tc>
      </w:tr>
      <w:tr>
        <w:tc>
          <w:tcPr>
            <w:tcW w:type="dxa" w:w="2340"/>
          </w:tcPr>
          <w:p>
            <w:pPr>
              <w:spacing w:line="240" w:lineRule="auto"/>
            </w:pPr>
            <w:r>
              <w:rPr>
                <w:sz w:val="18"/>
              </w:rPr>
              <w:t>3.1</w:t>
            </w:r>
          </w:p>
        </w:tc>
        <w:tc>
          <w:tcPr>
            <w:tcW w:type="dxa" w:w="2340"/>
          </w:tcPr>
          <w:p>
            <w:pPr>
              <w:spacing w:line="240" w:lineRule="auto"/>
            </w:pPr>
            <w:r>
              <w:rPr>
                <w:sz w:val="18"/>
              </w:rPr>
              <w:t>Cultural/Organisational</w:t>
            </w:r>
          </w:p>
        </w:tc>
        <w:tc>
          <w:tcPr>
            <w:tcW w:type="dxa" w:w="2340"/>
          </w:tcPr>
          <w:p>
            <w:pPr>
              <w:spacing w:line="240" w:lineRule="auto"/>
            </w:pPr>
            <w:r>
              <w:rPr>
                <w:sz w:val="18"/>
              </w:rPr>
              <w:t>D'Ambrosio &amp; Lavoratori (2025)</w:t>
            </w:r>
          </w:p>
        </w:tc>
        <w:tc>
          <w:tcPr>
            <w:tcW w:type="dxa" w:w="2340"/>
          </w:tcPr>
          <w:p>
            <w:pPr>
              <w:spacing w:line="240" w:lineRule="auto"/>
            </w:pPr>
            <w:r>
              <w:rPr>
                <w:sz w:val="18"/>
              </w:rPr>
              <w:t>Conceptual</w:t>
            </w:r>
          </w:p>
        </w:tc>
      </w:tr>
      <w:tr>
        <w:tc>
          <w:tcPr>
            <w:tcW w:type="dxa" w:w="2340"/>
          </w:tcPr>
          <w:p>
            <w:pPr>
              <w:spacing w:line="240" w:lineRule="auto"/>
            </w:pPr>
            <w:r>
              <w:rPr>
                <w:sz w:val="18"/>
              </w:rPr>
              <w:t>3.2</w:t>
            </w:r>
          </w:p>
        </w:tc>
        <w:tc>
          <w:tcPr>
            <w:tcW w:type="dxa" w:w="2340"/>
          </w:tcPr>
          <w:p>
            <w:pPr>
              <w:spacing w:line="240" w:lineRule="auto"/>
            </w:pPr>
            <w:r>
              <w:rPr>
                <w:sz w:val="18"/>
              </w:rPr>
              <w:t>Cultural/Organisational</w:t>
            </w:r>
          </w:p>
        </w:tc>
        <w:tc>
          <w:tcPr>
            <w:tcW w:type="dxa" w:w="2340"/>
          </w:tcPr>
          <w:p>
            <w:pPr>
              <w:spacing w:line="240" w:lineRule="auto"/>
            </w:pPr>
            <w:r>
              <w:rPr>
                <w:sz w:val="18"/>
              </w:rPr>
              <w:t>Mirzaei et al. (2021)</w:t>
            </w:r>
          </w:p>
        </w:tc>
        <w:tc>
          <w:tcPr>
            <w:tcW w:type="dxa" w:w="2340"/>
          </w:tcPr>
          <w:p>
            <w:pPr>
              <w:spacing w:line="240" w:lineRule="auto"/>
            </w:pPr>
            <w:r>
              <w:rPr>
                <w:sz w:val="18"/>
              </w:rPr>
              <w:t>Direct empirical (general Swedish)</w:t>
            </w:r>
          </w:p>
        </w:tc>
      </w:tr>
      <w:tr>
        <w:tc>
          <w:tcPr>
            <w:tcW w:type="dxa" w:w="2340"/>
          </w:tcPr>
          <w:p>
            <w:pPr>
              <w:spacing w:line="240" w:lineRule="auto"/>
            </w:pPr>
            <w:r>
              <w:rPr>
                <w:sz w:val="18"/>
              </w:rPr>
              <w:t>3.3</w:t>
            </w:r>
          </w:p>
        </w:tc>
        <w:tc>
          <w:tcPr>
            <w:tcW w:type="dxa" w:w="2340"/>
          </w:tcPr>
          <w:p>
            <w:pPr>
              <w:spacing w:line="240" w:lineRule="auto"/>
            </w:pPr>
            <w:r>
              <w:rPr>
                <w:sz w:val="18"/>
              </w:rPr>
              <w:t>Cultural/Organisational</w:t>
            </w:r>
          </w:p>
        </w:tc>
        <w:tc>
          <w:tcPr>
            <w:tcW w:type="dxa" w:w="2340"/>
          </w:tcPr>
          <w:p>
            <w:pPr>
              <w:spacing w:line="240" w:lineRule="auto"/>
            </w:pPr>
            <w:r>
              <w:rPr>
                <w:sz w:val="18"/>
              </w:rPr>
              <w:t>Pedroletti (2025)</w:t>
            </w:r>
          </w:p>
        </w:tc>
        <w:tc>
          <w:tcPr>
            <w:tcW w:type="dxa" w:w="2340"/>
          </w:tcPr>
          <w:p>
            <w:pPr>
              <w:spacing w:line="240" w:lineRule="auto"/>
            </w:pPr>
            <w:r>
              <w:rPr>
                <w:sz w:val="18"/>
              </w:rPr>
              <w:t>Direct empirical (single case, China→Italy)</w:t>
            </w:r>
          </w:p>
        </w:tc>
      </w:tr>
      <w:tr>
        <w:tc>
          <w:tcPr>
            <w:tcW w:type="dxa" w:w="2340"/>
          </w:tcPr>
          <w:p>
            <w:pPr>
              <w:spacing w:line="240" w:lineRule="auto"/>
            </w:pPr>
            <w:r>
              <w:rPr>
                <w:sz w:val="18"/>
              </w:rPr>
              <w:t>3.4</w:t>
            </w:r>
          </w:p>
        </w:tc>
        <w:tc>
          <w:tcPr>
            <w:tcW w:type="dxa" w:w="2340"/>
          </w:tcPr>
          <w:p>
            <w:pPr>
              <w:spacing w:line="240" w:lineRule="auto"/>
            </w:pPr>
            <w:r>
              <w:rPr>
                <w:sz w:val="18"/>
              </w:rPr>
              <w:t>Cultural/Organisational</w:t>
            </w:r>
          </w:p>
        </w:tc>
        <w:tc>
          <w:tcPr>
            <w:tcW w:type="dxa" w:w="2340"/>
          </w:tcPr>
          <w:p>
            <w:pPr>
              <w:spacing w:line="240" w:lineRule="auto"/>
            </w:pPr>
            <w:r>
              <w:rPr>
                <w:sz w:val="18"/>
              </w:rPr>
              <w:t>Pedroletti &amp; Ciabuschi (2023)</w:t>
            </w:r>
          </w:p>
        </w:tc>
        <w:tc>
          <w:tcPr>
            <w:tcW w:type="dxa" w:w="2340"/>
          </w:tcPr>
          <w:p>
            <w:pPr>
              <w:spacing w:line="240" w:lineRule="auto"/>
            </w:pPr>
            <w:r>
              <w:rPr>
                <w:sz w:val="18"/>
              </w:rPr>
              <w:t>Review (reported as under-researched dimension / gap)</w:t>
            </w:r>
          </w:p>
        </w:tc>
      </w:tr>
      <w:tr>
        <w:tc>
          <w:tcPr>
            <w:tcW w:type="dxa" w:w="2340"/>
          </w:tcPr>
          <w:p>
            <w:pPr>
              <w:spacing w:line="240" w:lineRule="auto"/>
            </w:pPr>
            <w:r>
              <w:rPr>
                <w:sz w:val="18"/>
              </w:rPr>
              <w:t>3.5</w:t>
            </w:r>
          </w:p>
        </w:tc>
        <w:tc>
          <w:tcPr>
            <w:tcW w:type="dxa" w:w="2340"/>
          </w:tcPr>
          <w:p>
            <w:pPr>
              <w:spacing w:line="240" w:lineRule="auto"/>
            </w:pPr>
            <w:r>
              <w:rPr>
                <w:sz w:val="18"/>
              </w:rPr>
              <w:t>Cultural/Organisational</w:t>
            </w:r>
          </w:p>
        </w:tc>
        <w:tc>
          <w:tcPr>
            <w:tcW w:type="dxa" w:w="2340"/>
          </w:tcPr>
          <w:p>
            <w:pPr>
              <w:spacing w:line="240" w:lineRule="auto"/>
            </w:pPr>
            <w:r>
              <w:rPr>
                <w:sz w:val="18"/>
              </w:rPr>
              <w:t>Bilbao-Ubillos et al. (2024)</w:t>
            </w:r>
          </w:p>
        </w:tc>
        <w:tc>
          <w:tcPr>
            <w:tcW w:type="dxa" w:w="2340"/>
          </w:tcPr>
          <w:p>
            <w:pPr>
              <w:spacing w:line="240" w:lineRule="auto"/>
            </w:pPr>
            <w:r>
              <w:rPr>
                <w:sz w:val="18"/>
              </w:rPr>
              <w:t>Review</w:t>
            </w:r>
          </w:p>
        </w:tc>
      </w:tr>
      <w:tr>
        <w:tc>
          <w:tcPr>
            <w:tcW w:type="dxa" w:w="2340"/>
          </w:tcPr>
          <w:p>
            <w:pPr>
              <w:spacing w:line="240" w:lineRule="auto"/>
            </w:pPr>
            <w:r>
              <w:rPr>
                <w:sz w:val="18"/>
              </w:rPr>
              <w:t>3.5</w:t>
            </w:r>
          </w:p>
        </w:tc>
        <w:tc>
          <w:tcPr>
            <w:tcW w:type="dxa" w:w="2340"/>
          </w:tcPr>
          <w:p>
            <w:pPr>
              <w:spacing w:line="240" w:lineRule="auto"/>
            </w:pPr>
            <w:r>
              <w:rPr>
                <w:sz w:val="18"/>
              </w:rPr>
              <w:t>Cultural/Organisational</w:t>
            </w:r>
          </w:p>
        </w:tc>
        <w:tc>
          <w:tcPr>
            <w:tcW w:type="dxa" w:w="2340"/>
          </w:tcPr>
          <w:p>
            <w:pPr>
              <w:spacing w:line="240" w:lineRule="auto"/>
            </w:pPr>
            <w:r>
              <w:rPr>
                <w:sz w:val="18"/>
              </w:rPr>
              <w:t>Espíndola et al. (2023)</w:t>
            </w:r>
          </w:p>
        </w:tc>
        <w:tc>
          <w:tcPr>
            <w:tcW w:type="dxa" w:w="2340"/>
          </w:tcPr>
          <w:p>
            <w:pPr>
              <w:spacing w:line="240" w:lineRule="auto"/>
            </w:pPr>
            <w:r>
              <w:rPr>
                <w:sz w:val="18"/>
              </w:rPr>
              <w:t>Review</w:t>
            </w:r>
          </w:p>
        </w:tc>
      </w:tr>
      <w:tr>
        <w:tc>
          <w:tcPr>
            <w:tcW w:type="dxa" w:w="2340"/>
          </w:tcPr>
          <w:p>
            <w:pPr>
              <w:spacing w:line="240" w:lineRule="auto"/>
            </w:pPr>
            <w:r>
              <w:rPr>
                <w:sz w:val="18"/>
              </w:rPr>
              <w:t>3.5</w:t>
            </w:r>
          </w:p>
        </w:tc>
        <w:tc>
          <w:tcPr>
            <w:tcW w:type="dxa" w:w="2340"/>
          </w:tcPr>
          <w:p>
            <w:pPr>
              <w:spacing w:line="240" w:lineRule="auto"/>
            </w:pPr>
            <w:r>
              <w:rPr>
                <w:sz w:val="18"/>
              </w:rPr>
              <w:t>Cultural/Organisational</w:t>
            </w:r>
          </w:p>
        </w:tc>
        <w:tc>
          <w:tcPr>
            <w:tcW w:type="dxa" w:w="2340"/>
          </w:tcPr>
          <w:p>
            <w:pPr>
              <w:spacing w:line="240" w:lineRule="auto"/>
            </w:pPr>
            <w:r>
              <w:rPr>
                <w:sz w:val="18"/>
              </w:rPr>
              <w:t>Gupta et al. (2023)</w:t>
            </w:r>
          </w:p>
        </w:tc>
        <w:tc>
          <w:tcPr>
            <w:tcW w:type="dxa" w:w="2340"/>
          </w:tcPr>
          <w:p>
            <w:pPr>
              <w:spacing w:line="240" w:lineRule="auto"/>
            </w:pPr>
            <w:r>
              <w:rPr>
                <w:sz w:val="18"/>
              </w:rPr>
              <w:t>Conceptual</w:t>
            </w:r>
          </w:p>
        </w:tc>
      </w:tr>
      <w:tr>
        <w:tc>
          <w:tcPr>
            <w:tcW w:type="dxa" w:w="2340"/>
          </w:tcPr>
          <w:p>
            <w:pPr>
              <w:spacing w:line="240" w:lineRule="auto"/>
            </w:pPr>
            <w:r>
              <w:rPr>
                <w:sz w:val="18"/>
              </w:rPr>
              <w:t>3.5</w:t>
            </w:r>
          </w:p>
        </w:tc>
        <w:tc>
          <w:tcPr>
            <w:tcW w:type="dxa" w:w="2340"/>
          </w:tcPr>
          <w:p>
            <w:pPr>
              <w:spacing w:line="240" w:lineRule="auto"/>
            </w:pPr>
            <w:r>
              <w:rPr>
                <w:sz w:val="18"/>
              </w:rPr>
              <w:t>Cultural/Organisational</w:t>
            </w:r>
          </w:p>
        </w:tc>
        <w:tc>
          <w:tcPr>
            <w:tcW w:type="dxa" w:w="2340"/>
          </w:tcPr>
          <w:p>
            <w:pPr>
              <w:spacing w:line="240" w:lineRule="auto"/>
            </w:pPr>
            <w:r>
              <w:rPr>
                <w:sz w:val="18"/>
              </w:rPr>
              <w:t>D'Ambrosio &amp; Lavoratori (2025)</w:t>
            </w:r>
          </w:p>
        </w:tc>
        <w:tc>
          <w:tcPr>
            <w:tcW w:type="dxa" w:w="2340"/>
          </w:tcPr>
          <w:p>
            <w:pPr>
              <w:spacing w:line="240" w:lineRule="auto"/>
            </w:pPr>
            <w:r>
              <w:rPr>
                <w:sz w:val="18"/>
              </w:rPr>
              <w:t>Conceptual</w:t>
            </w:r>
          </w:p>
        </w:tc>
      </w:tr>
      <w:tr>
        <w:tc>
          <w:tcPr>
            <w:tcW w:type="dxa" w:w="2340"/>
          </w:tcPr>
          <w:p>
            <w:pPr>
              <w:spacing w:line="240" w:lineRule="auto"/>
            </w:pPr>
            <w:r>
              <w:rPr>
                <w:sz w:val="18"/>
              </w:rPr>
              <w:t>4.1</w:t>
            </w:r>
          </w:p>
        </w:tc>
        <w:tc>
          <w:tcPr>
            <w:tcW w:type="dxa" w:w="2340"/>
          </w:tcPr>
          <w:p>
            <w:pPr>
              <w:spacing w:line="240" w:lineRule="auto"/>
            </w:pPr>
            <w:r>
              <w:rPr>
                <w:sz w:val="18"/>
              </w:rPr>
              <w:t>Regulatory/Institutional</w:t>
            </w:r>
          </w:p>
        </w:tc>
        <w:tc>
          <w:tcPr>
            <w:tcW w:type="dxa" w:w="2340"/>
          </w:tcPr>
          <w:p>
            <w:pPr>
              <w:spacing w:line="240" w:lineRule="auto"/>
            </w:pPr>
            <w:r>
              <w:rPr>
                <w:sz w:val="18"/>
              </w:rPr>
              <w:t>Li et al. (2025)</w:t>
            </w:r>
          </w:p>
        </w:tc>
        <w:tc>
          <w:tcPr>
            <w:tcW w:type="dxa" w:w="2340"/>
          </w:tcPr>
          <w:p>
            <w:pPr>
              <w:spacing w:line="240" w:lineRule="auto"/>
            </w:pPr>
            <w:r>
              <w:rPr>
                <w:sz w:val="18"/>
              </w:rPr>
              <w:t>Direct empirical (general; China named among affected hosts)</w:t>
            </w:r>
          </w:p>
        </w:tc>
      </w:tr>
      <w:tr>
        <w:tc>
          <w:tcPr>
            <w:tcW w:type="dxa" w:w="2340"/>
          </w:tcPr>
          <w:p>
            <w:pPr>
              <w:spacing w:line="240" w:lineRule="auto"/>
            </w:pPr>
            <w:r>
              <w:rPr>
                <w:sz w:val="18"/>
              </w:rPr>
              <w:t>4.1</w:t>
            </w:r>
          </w:p>
        </w:tc>
        <w:tc>
          <w:tcPr>
            <w:tcW w:type="dxa" w:w="2340"/>
          </w:tcPr>
          <w:p>
            <w:pPr>
              <w:spacing w:line="240" w:lineRule="auto"/>
            </w:pPr>
            <w:r>
              <w:rPr>
                <w:sz w:val="18"/>
              </w:rPr>
              <w:t>Regulatory/Institutional</w:t>
            </w:r>
          </w:p>
        </w:tc>
        <w:tc>
          <w:tcPr>
            <w:tcW w:type="dxa" w:w="2340"/>
          </w:tcPr>
          <w:p>
            <w:pPr>
              <w:spacing w:line="240" w:lineRule="auto"/>
            </w:pPr>
            <w:r>
              <w:rPr>
                <w:sz w:val="18"/>
              </w:rPr>
              <w:t>Di Stefano &amp; Fratocchi (2019)</w:t>
            </w:r>
          </w:p>
        </w:tc>
        <w:tc>
          <w:tcPr>
            <w:tcW w:type="dxa" w:w="2340"/>
          </w:tcPr>
          <w:p>
            <w:pPr>
              <w:spacing w:line="240" w:lineRule="auto"/>
            </w:pPr>
            <w:r>
              <w:rPr>
                <w:sz w:val="18"/>
              </w:rPr>
              <w:t>Review</w:t>
            </w:r>
          </w:p>
        </w:tc>
      </w:tr>
      <w:tr>
        <w:tc>
          <w:tcPr>
            <w:tcW w:type="dxa" w:w="2340"/>
          </w:tcPr>
          <w:p>
            <w:pPr>
              <w:spacing w:line="240" w:lineRule="auto"/>
            </w:pPr>
            <w:r>
              <w:rPr>
                <w:sz w:val="18"/>
              </w:rPr>
              <w:t>4.2</w:t>
            </w:r>
          </w:p>
        </w:tc>
        <w:tc>
          <w:tcPr>
            <w:tcW w:type="dxa" w:w="2340"/>
          </w:tcPr>
          <w:p>
            <w:pPr>
              <w:spacing w:line="240" w:lineRule="auto"/>
            </w:pPr>
            <w:r>
              <w:rPr>
                <w:sz w:val="18"/>
              </w:rPr>
              <w:t>Regulatory/Institutional</w:t>
            </w:r>
          </w:p>
        </w:tc>
        <w:tc>
          <w:tcPr>
            <w:tcW w:type="dxa" w:w="2340"/>
          </w:tcPr>
          <w:p>
            <w:pPr>
              <w:spacing w:line="240" w:lineRule="auto"/>
            </w:pPr>
            <w:r>
              <w:rPr>
                <w:sz w:val="18"/>
              </w:rPr>
              <w:t>Di Stefano &amp; Fratocchi (2019)</w:t>
            </w:r>
          </w:p>
        </w:tc>
        <w:tc>
          <w:tcPr>
            <w:tcW w:type="dxa" w:w="2340"/>
          </w:tcPr>
          <w:p>
            <w:pPr>
              <w:spacing w:line="240" w:lineRule="auto"/>
            </w:pPr>
            <w:r>
              <w:rPr>
                <w:sz w:val="18"/>
              </w:rPr>
              <w:t>Review (limited, context-dependent evidence)</w:t>
            </w:r>
          </w:p>
        </w:tc>
      </w:tr>
      <w:tr>
        <w:tc>
          <w:tcPr>
            <w:tcW w:type="dxa" w:w="2340"/>
          </w:tcPr>
          <w:p>
            <w:pPr>
              <w:spacing w:line="240" w:lineRule="auto"/>
            </w:pPr>
            <w:r>
              <w:rPr>
                <w:sz w:val="18"/>
              </w:rPr>
              <w:t>4.3</w:t>
            </w:r>
          </w:p>
        </w:tc>
        <w:tc>
          <w:tcPr>
            <w:tcW w:type="dxa" w:w="2340"/>
          </w:tcPr>
          <w:p>
            <w:pPr>
              <w:spacing w:line="240" w:lineRule="auto"/>
            </w:pPr>
            <w:r>
              <w:rPr>
                <w:sz w:val="18"/>
              </w:rPr>
              <w:t>Regulatory/Institutional</w:t>
            </w:r>
          </w:p>
        </w:tc>
        <w:tc>
          <w:tcPr>
            <w:tcW w:type="dxa" w:w="2340"/>
          </w:tcPr>
          <w:p>
            <w:pPr>
              <w:spacing w:line="240" w:lineRule="auto"/>
            </w:pPr>
            <w:r>
              <w:rPr>
                <w:sz w:val="18"/>
              </w:rPr>
              <w:t>Mirzaei et al. (2021)</w:t>
            </w:r>
          </w:p>
        </w:tc>
        <w:tc>
          <w:tcPr>
            <w:tcW w:type="dxa" w:w="2340"/>
          </w:tcPr>
          <w:p>
            <w:pPr>
              <w:spacing w:line="240" w:lineRule="auto"/>
            </w:pPr>
            <w:r>
              <w:rPr>
                <w:sz w:val="18"/>
              </w:rPr>
              <w:t>Direct empirical (education/industry skills mismatch)</w:t>
            </w:r>
          </w:p>
        </w:tc>
      </w:tr>
      <w:tr>
        <w:tc>
          <w:tcPr>
            <w:tcW w:type="dxa" w:w="2340"/>
          </w:tcPr>
          <w:p>
            <w:pPr>
              <w:spacing w:line="240" w:lineRule="auto"/>
            </w:pPr>
            <w:r>
              <w:rPr>
                <w:sz w:val="18"/>
              </w:rPr>
              <w:t>4.3</w:t>
            </w:r>
          </w:p>
        </w:tc>
        <w:tc>
          <w:tcPr>
            <w:tcW w:type="dxa" w:w="2340"/>
          </w:tcPr>
          <w:p>
            <w:pPr>
              <w:spacing w:line="240" w:lineRule="auto"/>
            </w:pPr>
            <w:r>
              <w:rPr>
                <w:sz w:val="18"/>
              </w:rPr>
              <w:t>Regulatory/Institutional</w:t>
            </w:r>
          </w:p>
        </w:tc>
        <w:tc>
          <w:tcPr>
            <w:tcW w:type="dxa" w:w="2340"/>
          </w:tcPr>
          <w:p>
            <w:pPr>
              <w:spacing w:line="240" w:lineRule="auto"/>
            </w:pPr>
            <w:r>
              <w:rPr>
                <w:sz w:val="18"/>
              </w:rPr>
              <w:t>Gupta et al. (2023)</w:t>
            </w:r>
          </w:p>
        </w:tc>
        <w:tc>
          <w:tcPr>
            <w:tcW w:type="dxa" w:w="2340"/>
          </w:tcPr>
          <w:p>
            <w:pPr>
              <w:spacing w:line="240" w:lineRule="auto"/>
            </w:pPr>
            <w:r>
              <w:rPr>
                <w:sz w:val="18"/>
              </w:rPr>
              <w:t>Conceptual</w:t>
            </w:r>
          </w:p>
        </w:tc>
      </w:tr>
    </w:tbl>
    <w:p>
      <w:r>
        <w:rPr>
          <w:i/>
        </w:rPr>
        <w:t>Appendix B notes:</w:t>
      </w:r>
      <w:r>
        <w:t xml:space="preserve"> (i) Tsai and Urmetzer (2024) appears in the formal analytical sample but serves terminology and framework purposes only and therefore has no barrier-theme entry. (ii) Robinson and Hsieh (2016) likewise has no barrier-theme entry: it contributes driver and strategic-renewal evidence rather than implementation-barrier evidence. (iii) Themes 1.4, 3.4, 3.5, and 4.2 have no direct empirical source; they rest on review and conceptual evidence only, as recorded above.</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2"/>
      <w:szCs w:val="28"/>
      <w:color w:val="00000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8"/>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