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pPr>
        <w:pStyle w:val="Heading1"/>
      </w:pPr>
      <w:r>
        <w:t>List of Figures</w:t>
      </w:r>
    </w:p>
    <w:p>
      <w:fldSimple w:instr="TOC \h \z \t &quot;FigureCaption,1&quot;">
        <w:r>
          <w:t>Right-click and choose "Update Field" to generate the List of Figures.</w:t>
        </w:r>
      </w:fldSimple>
    </w:p>
    <w:p>
      <w:pPr>
        <w:pStyle w:val="Heading1"/>
      </w:pPr>
      <w:r>
        <w:t>List of Tables</w:t>
      </w:r>
    </w:p>
    <w:p>
      <w:fldSimple w:instr="TOC \h \z \t &quot;TableCaption,1&quot;">
        <w:r>
          <w:t>Right-click and choose "Update Field" to generate the List of Tables.</w:t>
        </w:r>
      </w:fldSimple>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Fifteen of these sources provide barrier evidence and are represented here, and one further source (Tsai &amp; Urmetzer, 2024) is in the formal sample but used as a basis for terminology and frameworks and not cited for barrier finding.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