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r>
        <w:fldChar w:fldCharType="begin" w:dirty="true"/>
      </w:r>
      <w:r>
        <w:instrText xml:space="preserve"> TOC \o "1-3" \h \z \u </w:instrText>
      </w:r>
      <w:r>
        <w:fldChar w:fldCharType="separate"/>
      </w:r>
      <w:r>
        <w:t xml:space="preserve">Right-click and choose "Update Field" to generate the Table of Contents.</w:t>
      </w:r>
      <w:r>
        <w:fldChar w:fldCharType="end"/>
      </w:r>
    </w:p>
    <w:p>
      <w:pPr>
        <w:pStyle w:val="Heading1"/>
      </w:pPr>
      <w:r>
        <w:t>List of Figures</w:t>
      </w:r>
    </w:p>
    <w:p>
      <w:r>
        <w:fldChar w:fldCharType="begin" w:dirty="true"/>
      </w:r>
      <w:r>
        <w:instrText xml:space="preserve"> TOC \h \z \t "FigureCaption,1" </w:instrText>
      </w:r>
      <w:r>
        <w:fldChar w:fldCharType="separate"/>
      </w:r>
      <w:r>
        <w:t xml:space="preserve">Right-click and choose "Update Field" to generate the List of Figures.</w:t>
      </w:r>
      <w:r>
        <w:fldChar w:fldCharType="end"/>
      </w:r>
    </w:p>
    <w:p>
      <w:pPr>
        <w:pStyle w:val="Heading1"/>
      </w:pPr>
      <w:r>
        <w:t>List of Tables</w:t>
      </w:r>
    </w:p>
    <w:p>
      <w:r>
        <w:fldChar w:fldCharType="begin" w:dirty="true"/>
      </w:r>
      <w:r>
        <w:instrText xml:space="preserve"> TOC \h \z \t "TableCaption,1" </w:instrText>
      </w:r>
      <w:r>
        <w:fldChar w:fldCharType="separate"/>
      </w:r>
      <w:r>
        <w:t xml:space="preserve">Right-click and choose "Update Field" to generate the List of Tables.</w:t>
      </w:r>
      <w:r>
        <w:fldChar w:fldCharType="end"/>
      </w:r>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r>
        <w:br w:type="page"/>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and expert-based decision analysis has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r>
        <w:br w:type="page"/>
      </w:r>
    </w:p>
    <w:p>
      <w:pPr>
        <w:pStyle w:val="Heading1"/>
      </w:pPr>
      <w:r>
        <w:t>3 Research Methodology</w:t>
      </w:r>
    </w:p>
    <w:p>
      <w:r>
        <w:t>This chapter outlines the design of the study: the rationale for conducting a systematic literature review, how the literature was searched and screened, and how the included studies were analysed and coded into the firm-level barrier framework. Methodological limitations are discussed together with the findings they qualify in Section 5.4.</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A source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summarised in Figure 1.</w:t>
      </w:r>
    </w:p>
    <w:p>
      <w:pPr>
        <w:spacing w:line="240" w:lineRule="auto"/>
        <w:jc w:val="center"/>
      </w:pPr>
      <w:r>
        <w:drawing>
          <wp:inline xmlns:a="http://schemas.openxmlformats.org/drawingml/2006/main" xmlns:pic="http://schemas.openxmlformats.org/drawingml/2006/picture">
            <wp:extent cx="5669280" cy="478016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4780169"/>
                    </a:xfrm>
                    <a:prstGeom prst="rect"/>
                  </pic:spPr>
                </pic:pic>
              </a:graphicData>
            </a:graphic>
          </wp:inline>
        </w:drawing>
      </w:r>
    </w:p>
    <w:p>
      <w:pPr>
        <w:pStyle w:val="FigureCaption"/>
      </w:pPr>
      <w:r>
        <w:rPr>
          <w:b/>
        </w:rPr>
        <w:t>Figure 1.</w:t>
      </w:r>
      <w:r>
        <w:t xml:space="preserve"> </w:t>
      </w:r>
      <w:r>
        <w:rPr>
          <w:i/>
        </w:rPr>
        <w:t>PRISMA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Results and Discussion chapters to interpret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Chapter 4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next chapter presents the eighteen barrier themes identified through this process and organises them within the four categories of the firm-level framework.</w:t>
      </w:r>
    </w:p>
    <w:p>
      <w:r>
        <w:br w:type="page"/>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in the reviewed literature, namely the asset/capability barriers.</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A third supporting empirical study (Robinson &amp; Hsieh, 2016) provides only contextual evidence. The evidence from literature is derived from six sources (Pedroletti &amp; Ciabuschi, 2023; Wiesmann et al., 2017; Espíndola et al., 2023; Di Stefano &amp; Fratocchi, 2019; Ocicka, 2016; Bilbao-Ubillos et al., 2024), while conceptual argument comes from two further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r>
        <w:br w:type="page"/>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(Chapter 4, Section 4.1); Table 1 (Chapter 3, Section 3.3)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