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Barriers to Reshoring from Asian Markets: A Systematic Literature Review</w:t>
      </w:r>
    </w:p>
    <w:p>
      <w:pPr>
        <w:pStyle w:val="Heading2"/>
      </w:pPr>
      <w:r>
        <w:t>Abstract</w:t>
      </w:r>
    </w:p>
    <w:p>
      <w:r>
        <w:t>International manufacturing has been shaped by decades of offshoring to Asian host countries, yet changing risk conditions have renewed interest in returning production home. While the reasons why firms consider reshoring are well documented, far less is known about the difficulties they face when they attempt to carry it out. This thesis asks what central barriers manufacturing firms face when implementing reshoring strategies from Asian markets. It uses a systematic literature review of an analytical sample comprising twenty-one peer-reviewed studies to identify eighteen barrier themes, organised into a firm-level framework of four categories: regulatory/institutional, cultural/organisational, cost/operational, and asset/capability barriers. The findings indicate that the most broadly supported barriers concern the reconstruction of domestic capability — skills, machinery, and supplier ecosystems — together with dependence on specialised host-country suppliers, underestimated operational adjustments, and host-country exit constraints. Interpreted through Transaction Cost Economics and the Resource-Based View, these barriers reflect the costs of dismantling committed offshore arrangements and the difficulty of rebuilding eroded resources at home. The thesis derives stage-based managerial implications, from capability audits and exit due diligence to phased returns and workforce development.</w:t>
      </w:r>
    </w:p>
    <w:p>
      <w:pPr>
        <w:pStyle w:val="Heading2"/>
      </w:pPr>
      <w:r>
        <w:t>Acknowledgements</w:t>
      </w:r>
    </w:p>
    <w:p>
      <w:r>
        <w:t>I would like to thank my supervisor, [Supervisor's name], for the guidance and constructive feedback provided throughout the development of this thesis. I am also grateful to [Institution or programme] for the academic foundation on which this work builds. Finally, I wish to thank [Family member or friend] for their patience and encouragement during the months in which this thesis was written. Any remaining errors are my own.</w:t>
      </w:r>
    </w:p>
    <w:p>
      <w:pPr>
        <w:pStyle w:val="Heading1"/>
      </w:pPr>
      <w:r>
        <w:t>1 Introduction</w:t>
      </w:r>
    </w:p>
    <w:p>
      <w:r>
        <w:t>The location of manufacturing abroad is one of the most debated issues in international business. Following several decades in which firms moved production to Asian host countries, an increasing number of manufacturers are considering, announcing, or attempting the opposite movement: reshoring, the return of previously offshored manufacturing activities from an Asian host country to the firm's home country. Macro-level evidence shows that relocation has long run in both directions, with offshoring and return movements occurring in parallel (Gao et al., 2022). The motives behind such returns have been explored in detail, but much less is known about what happens when companies actually try to make the move (Ocicka, 2016; Pedroletti &amp; Ciabuschi, 2023). This thesis addresses that question by systematically reviewing the literature on the barriers that manufacturing firms encounter when implementing reshoring strategies from Asian markets.</w:t>
      </w:r>
    </w:p>
    <w:p>
      <w:pPr>
        <w:pStyle w:val="Heading2"/>
      </w:pPr>
      <w:r>
        <w:t>1.1 Background of the Study</w:t>
      </w:r>
    </w:p>
    <w:p>
      <w:r>
        <w:t>For decades, manufacturing firms from Europe and North America transferred production activities to Asian locations in pursuit of lower factor costs, with China in particular developing into the centre of global manufacturing networks. This location pattern, however, has never been static. Macro-level analyses of global manufacturing location show that offshoring, reshoring, and re-offshoring movements have occurred in parallel rather than in sequence, with production shifting between countries and industries throughout the period following the global financial crisis; the same evidence indicates that reshoring is more likely to be adopted in capital- and technology-intensive manufacturing than in labour-intensive industries (Gao et al., 2022). Within Asia itself, rising production costs in China have pushed labour-intensive manufacturers to relocate activities towards Southeast Asian countries (Yang, 2016). Such intra-Asian relocation illustrates the pressure on established manufacturing configurations, but it does not constitute reshoring: production that moves from China to Vietnam remains offshore from the perspective of the Western home country.</w:t>
      </w:r>
    </w:p>
    <w:p>
      <w:r>
        <w:t>The risk environment surrounding Asian manufacturing has also changed. Geoeconomic fragmentation and trade tensions have raised concerns about supply-chain vulnerability, but reliance on Chinese inputs has remained persistent, with value chains frequently rerouted through third countries rather than eliminated (McCully &amp; Simola, 2024). Some of this adjustment has taken the form of substitution within Asia, with other Asian economies taking over stages of production that were previously concentrated in China (Xing et al., 2024). The COVID-19 pandemic acted as a further trigger, accelerating reshoring considerations that firms had previously deferred (Barbieri et al., 2020), and in Europe it intensified the political and academic debate on reindustrialisation and on bringing manufacturing capacity back to home markets (Somoza Medina, 2022). These developments have shifted the location decision from a largely cost-based calculation towards a broader assessment of risk, resilience, and control.</w:t>
      </w:r>
    </w:p>
    <w:p>
      <w:r>
        <w:t>In this context, reshoring has become a topic of increasing interest for companies, policymakers, and academics. In home countries, particularly the United States, policy measures have actively encouraged the return of manufacturing (Bolter &amp; Robey, 2020). Recent survey evidence links reshoring decisions to Industry 4.0 adoption, pandemic experiences, and made-in effects (Stentoft et al., 2025), and firm-level research suggests that the likelihood of reshoring depends on home-country conditions (Wan et al., 2019). However, a good strategic argument for bringing production back does not automatically mean that a firm has the resources and capabilities to do it. Implementation requires the firm to rebuild or reacquire manufacturing capacity, competences, and supplier relationships in the home country, and the literature has repeatedly pointed out that these implementation issues have received much less attention than the decision itself (Ocicka, 2016; Pedroletti &amp; Ciabuschi, 2023). It is precisely at this implementation stage that many of the practical difficulties of reshoring arise, which makes the barriers to implementation a relevant and timely object of study.</w:t>
      </w:r>
    </w:p>
    <w:p>
      <w:pPr>
        <w:pStyle w:val="Heading2"/>
      </w:pPr>
      <w:r>
        <w:t>1.2 Research Problem and Questions</w:t>
      </w:r>
    </w:p>
    <w:p>
      <w:r>
        <w:t>The reshoring literature has focused mainly on drivers, that is, the reasons why companies might want to bring production back to the home country. The implementation side of reshoring — the difficulties faced by a company when it prepares, transfers, rebuilds, integrates, and stabilises production at home — is less studied, and the available evidence on these barriers is scattered across individual studies (Ocicka, 2016; Pedroletti &amp; Ciabuschi, 2023). Furthermore, the evidence is rarely structured around the specific situation of firms returning from Asian host countries, even though Asia is the leading offshore manufacturing destination and the setting in which most reshoring projects originate. There is therefore no consolidated, firm-level account of the barriers that manufacturing firms face when they attempt to implement reshoring from Asian markets.</w:t>
      </w:r>
    </w:p>
    <w:p>
      <w:r>
        <w:t>This thesis aims to fill this gap by systematically reviewing and synthesising the existing literature. The study is guided by the following core research question:</w:t>
      </w:r>
    </w:p>
    <w:p>
      <w:r>
        <w:rPr>
          <w:b/>
        </w:rPr>
        <w:t>RQ:</w:t>
      </w:r>
      <w:r>
        <w:t xml:space="preserve"> What central barriers do manufacturing firms face when implementing reshoring strategies from Asian markets?</w:t>
      </w:r>
    </w:p>
    <w:p>
      <w:r>
        <w:t>Two sub-questions specify the analysis:</w:t>
      </w:r>
    </w:p>
    <w:p>
      <w:r>
        <w:rPr>
          <w:b/>
        </w:rPr>
        <w:t>SQ1:</w:t>
      </w:r>
      <w:r>
        <w:t xml:space="preserve"> How can the identified reshoring barriers be categorized into a systematic firm-level framework?</w:t>
      </w:r>
    </w:p>
    <w:p>
      <w:r>
        <w:rPr>
          <w:b/>
        </w:rPr>
        <w:t>SQ2:</w:t>
      </w:r>
      <w:r>
        <w:t xml:space="preserve"> What are the managerial implications for international businesses to mitigate these corporate barriers?</w:t>
      </w:r>
    </w:p>
    <w:p>
      <w:pPr>
        <w:pStyle w:val="Heading2"/>
      </w:pPr>
      <w:r>
        <w:t>1.3 Objectives of the Study</w:t>
      </w:r>
    </w:p>
    <w:p>
      <w:r>
        <w:t>The study pursues four objectives, aligned with the research questions. The starting point is to identify the barriers to reshoring implementation reported in the peer-reviewed literature; the thesis does not collect primary interview, survey, or company data, but instead uses a systematic literature review as its research method. The identified barriers are then categorised into a firm-level framework of four categories — regulatory/institutional, cultural/organisational, cost/operational, and asset/capability barriers — and interpreted through two established theoretical perspectives, Transaction Cost Economics and the Resource-Based View, to explain why the return of production remains challenging even after the decision to reshore has been made. Finally, the thesis derives managerial implications that suggest how international businesses can anticipate and address these barriers when planning and implementing reshoring from Asian markets.</w:t>
      </w:r>
    </w:p>
    <w:p>
      <w:r>
        <w:t>The remainder of the thesis proceeds from this starting point: Chapter 2 reviews the relevant literature and theoretical foundations, Chapter 3 describes the systematic review methodology, Chapter 4 reports the identified barriers, Chapter 5 interprets them and derives managerial implications, and Chapter 6 concludes.</w:t>
      </w:r>
    </w:p>
    <w:p>
      <w:pPr>
        <w:pStyle w:val="Heading1"/>
      </w:pPr>
      <w:r>
        <w:t>2 Literature Review</w:t>
      </w:r>
    </w:p>
    <w:p>
      <w:r>
        <w:t>This chapter establishes the conceptual and theoretical background of the study: what reshoring is and is not, the two theoretical lenses used to interpret the findings, the difference between the drivers of reshoring and the barriers to its implementation, and the gap in current knowledge that the thesis addresses.</w:t>
      </w:r>
    </w:p>
    <w:p>
      <w:pPr>
        <w:pStyle w:val="Heading2"/>
      </w:pPr>
      <w:r>
        <w:t>2.1 Defining Reshoring and Distinguishing Related Relocation Forms</w:t>
      </w:r>
    </w:p>
    <w:p>
      <w:r>
        <w:t>Research on manufacturing relocation has long been characterised by inconsistent terminology. Tsai and Urmetzer (2024), reviewing 158 studies on manufacturing relocation, note that concepts such as offshoring, reshoring, backshoring, and nearshoring have been used with conflicting meanings across industrial and regional contexts, and they consolidate the field into a single decisional framework in which reshoring serves as an umbrella term covering both relocation to the home country and relocation to a proximate country. This thesis adopts a deliberately narrower definition: reshoring is understood as the return of previously offshored manufacturing activities from an Asian host country to the firm's home country. Ocicka (2016) similarly characterises reshoring as the reversal of a prior offshoring decision, a definition that usefully emphasises two constitutive elements — there must have been an initial offshoring movement, and the activity must return home rather than merely move elsewhere.</w:t>
      </w:r>
    </w:p>
    <w:p>
      <w:r>
        <w:t>The narrower definition matters because several relocation patterns that superficially resemble reshoring fall outside it. Relocation from one foreign host to another — for instance from China to a lower-cost Asian country — leaves production offshore from the home country's perspective and therefore constitutes re-offshoring or diversification rather than reshoring; nearshoring, in which production moves to a country closer to home without returning, is likewise excluded. These distinctions follow the terminology consolidated in the relocation literature (Tsai &amp; Urmetzer, 2024). Macro-level evidence indicates that these movements coexist: analyses of global manufacturing location between 2007 and 2014 document offshoring, reshoring, and re-offshoring occurring in parallel across countries and industries (Gao et al., 2022). Treating all of these patterns as reshoring would blur the phenomenon this thesis investigates, namely the specific difficulties of bringing production home.</w:t>
      </w:r>
    </w:p>
    <w:p>
      <w:r>
        <w:t>Beyond definition, recent research increasingly conceptualises reshoring as a process rather than a single decision. Pedroletti and Ciabuschi (2023) organise the literature into five sequential themes — antecedents, contingencies, decision, implementation, and outcome — and propose a research agenda for each. This process view is foundational for the present study, because it makes implementation visible as a distinct stage that begins after the decision to reshore has been taken and that carries its own difficulties.</w:t>
      </w:r>
    </w:p>
    <w:p>
      <w:pPr>
        <w:pStyle w:val="Heading2"/>
      </w:pPr>
      <w:r>
        <w:t>2.2 Theoretical Foundations: Transaction Cost Economics and the Resource-Based View</w:t>
      </w:r>
    </w:p>
    <w:p>
      <w:r>
        <w:t>The reshoring literature is based on a variety of theoretical approaches rather than a single unified theory; Wiesmann et al. (2017) observe that there is currently no consensus on a "theory of reshoring" and survey the theories used in previous studies. The lenses of individual studies vary: Li et al. (2025) draw on Dunning's eclectic paradigm for their empirical analysis, Pedroletti (2025) uses a business-network perspective from internationalisation-process theory, and D'Ambrosio and Lavoratori (2025) build on trade-theoretic work on de-globalisation and global value chains. Against this plural background, this thesis adopts Transaction Cost Economics (TCE) and the Resource-Based View (RBV) as its two interpretive lenses, drawing on their original formulations (Williamson, 1985; Barney, 1991); where a reviewed study uses a different theory, that framing is reported as such.</w:t>
      </w:r>
    </w:p>
    <w:p>
      <w:r>
        <w:t>Transaction Cost Economics, as developed by Williamson (1985), directs attention to the costs of organising economic activity across firm and country boundaries, emphasising asset specificity, contractual safeguards, and the governance of exchange relationships. Williamson did not study reshoring; applying these concepts to the return of production is this thesis's own interpretation. From a TCE perspective, the exit side of implementation becomes visible: offshore arrangements embody committed investments and contractual obligations, and unwinding them carries real costs. Empirical findings consistent with this logic include strict host-country layoff regulations and locked investments that make a rapid exit difficult (Li et al., 2025), plant-closure fees and fiscal obligations reported in the review literature (Di Stefano &amp; Fratocchi, 2019), and the coordination burden that arises when production is split between home and host locations during a partial return (Pedroletti, 2025). Transaction-cost reasoning also points to hidden costs: Ocicka (2016) argues that sourcing decisions based on unit price alone systematically underestimate the total cost of offshore acquisition, and Boffelli et al. (2021) document how firms underestimate the operational adjustments that relocation requires.</w:t>
      </w:r>
    </w:p>
    <w:p>
      <w:r>
        <w:t>The Resource-Based View, grounded in Barney's (1991) argument that competitive advantage rests on resources that are valuable, rare, imperfectly imitable, and non-substitutable, sheds light on the arrival side of implementation; as with TCE, its application to reshoring is this thesis's own. Through an RBV lens, the firm appears as a collection of resources and capabilities, and reshoring succeeds only if the firm can rebuild or reacquire the productive resources — skills, machinery, routines, and supplier relationships — that the home operation requires. The reshoring literature repeatedly reports exactly such capability constraints: the erosion of domestic manufacturing competences and capacity after prolonged offshoring (Wiesmann et al., 2017), the scarcity of specialised manpower encountered by returning firms (Di Mauro et al., 2018), and the need to rebuild machinery, tooling, and workforce skills documented in case evidence (Pegoraro et al., 2022). Conceptual work complements this reading: D'Ambrosio and Lavoratori (2025) contend that reshoring confronts firms with new fixed costs and capability demands, while existing value chains remain "sticky" because of the resources invested in them. Taken together, the two lenses are complementary: Transaction Cost Economics explains why leaving the host country is costly, and the Resource-Based View explains why re-establishing production at home is demanding.</w:t>
      </w:r>
    </w:p>
    <w:p>
      <w:pPr>
        <w:pStyle w:val="Heading2"/>
      </w:pPr>
      <w:r>
        <w:t>2.3 Drivers of Reshoring versus Implementation Barriers</w:t>
      </w:r>
    </w:p>
    <w:p>
      <w:r>
        <w:t>A central conceptual distinction in this thesis separates the motivations for reshoring from the difficulties of carrying it out. The driver literature is relatively well developed. Di Mauro et al. (2018) conclude that offshoring is mainly driven by cost reduction, whereas backshoring usually follows a strategic reorientation towards customer-perceived value, and they characterise the return as strategic evolution rather than the correction of a managerial mistake. Firm-level survey evidence links reshoring decisions to home-country conditions (Wan et al., 2019) and to Industry 4.0 adoption, pandemic experience, and made-in effects (Stentoft et al., 2025), and survey and case research has examined the relationship between digital-technology adoption and backshoring decisions (Kamp &amp; Gibaja, 2021). Case studies add brand-related motives: Robinson and Hsieh (2016) demonstrate how a luxury clothing company's repositioning around provenance and quality led to the consolidation of production in the home country. Problems with quality, coordination, and flexibility at offshore locations also appear as reasons for return (Di Mauro et al., 2018).</w:t>
      </w:r>
    </w:p>
    <w:p>
      <w:r>
        <w:t>Drivers, however, explain only why companies want to come back — not whether the return succeeds. As defined in this thesis, implementation barriers are the difficulties that occur when a firm prepares, transfers, rebuilds, integrates, and stabilises production at home after the reshoring decision has been made. The distinction is analytically important because factors prominent in the driver literature, such as rising foreign wages or supply-chain disruptions, are not implementation barriers unless the evidence indicates that they obstructed the implementation process itself. The clearest empirical demonstration that the two stages are distinct is provided by Boffelli et al. (2021), who examine mistakes in four relocation cases in the fashion industry and distinguish decision-making mistakes from implementation mistakes. Their key finding is that failures of relocation initiatives were directly linked to mistakes made in the implementation phase, leading to the conclusion that "doing things right" in implementation matters more than "doing the right thing" at the decision stage. The process framework of Pedroletti and Ciabuschi (2023) supports this separation at a conceptual level, treating implementation as a stage with its own contingencies and outcomes.</w:t>
      </w:r>
    </w:p>
    <w:p>
      <w:pPr>
        <w:pStyle w:val="Heading2"/>
      </w:pPr>
      <w:r>
        <w:t>2.4 Existing Knowledge on Reshoring Barriers and the Research Gap</w:t>
      </w:r>
    </w:p>
    <w:p>
      <w:r>
        <w:t>The most systematic early treatment of reshoring barriers is the literature review by Wiesmann et al. (2017), who categorise both drivers and barriers into five sets of dynamics: global competitive dynamics, home-country, host-country, supply-chain, and firm-specific factors. On the barrier side, the review notes the loss of access to production resources that were available offshore but are absent at home, shortages of skilled personnel in both the host and home countries, and weaknesses in home-country supplier capacity and networks. As a review, however, it aggregates results from very different primary studies, and its five-dynamics structure differs from the firm-level framework developed in this thesis.</w:t>
      </w:r>
    </w:p>
    <w:p>
      <w:r>
        <w:t>Later review work has extended the barrier discussion in specific directions. Di Stefano and Fratocchi (2019) explore the connection between backshoring and sustainability and show that environmental and social factors can act as drivers, outcomes, or barriers, including regulatory and social constraints on exiting the host country. Technology-readiness themes emerge from reviews at the intersection of reshoring and Industry 4.0 (Espíndola et al., 2023; Bilbao-Ubillos et al., 2024): digital technologies can make reshoring more attractive by reducing the importance of labour costs and increasing the value of proximity, but their deployment requires new technical skills, organisational adaptation, and investment. In a similar direction, Gupta et al. (2023) argue that Industry 4.0 plays a dual role, facilitating reshoring while introducing new capability demands. Conceptually, D'Ambrosio and Lavoratori (2025) integrate several of these strands, explaining the rarity of reshoring through the stickiness of existing value chains, the new fixed costs of domestic production, and firm-size differences — larger firms may prefer nearshoring or friendshoring, while smaller, constrained firms may reshore defensively "to survive." Empirical work on high-cost home environments shows that companies producing in their home countries face labour-cost pressure, skills shortages, supplier-network gaps, and internal organisational frictions (Mirzaei et al., 2021), conditions that any returning firm inherits.</w:t>
      </w:r>
    </w:p>
    <w:p>
      <w:r>
        <w:t>Three limitations of this body of knowledge define the research gap. The most basic is fragmentation: individual studies identify individual obstacles, but consolidated, firm-level syntheses focused specifically on implementation are rare, and the implementation stage remains under-researched compared with the reshoring decision (Ocicka, 2016; Pedroletti &amp; Ciabuschi, 2023). The evidence is also heterogeneous in kind — direct case observations, review-level aggregations, and conceptual arguments are often cited interchangeably, although they represent different forms of evidence and therefore require different interpretation. Most consequential for this thesis, the literature is rarely disaggregated in an Asia-specific way. Asia is the main offshore manufacturing destination, yet most studies report barriers at the sample level without distinguishing findings that concern the return from Asian host countries. Direct implementation evidence from identified Asia-to-home cases does exist — notably a China-to-UK case documenting skills, machinery, and ramp-up difficulties (Pegoraro et al., 2022) and a China-to-Italy case documenting supplier dependence and coordination burdens in a partial return (Pedroletti, 2025) — but such cases are few. The four categories used in this thesis — regulatory/institutional, cultural/organisational, cost/operational, and asset/capability barriers — are intended to bring this fragmented evidence together at the firm level while preserving the distinction between empirical, review, conceptual, and Asia-specific evidence.</w:t>
      </w:r>
    </w:p>
    <w:p>
      <w:r>
        <w:t>In short, the drivers of reshoring are well researched, but the barriers to carrying it out are not: the available barrier evidence is scattered across individual studies, mixed in kind, and rarely disaggregated for Asian host countries. The next chapter describes the systematic review through which this thesis consolidates that evidence.</w:t>
      </w:r>
    </w:p>
    <w:p>
      <w:pPr>
        <w:pStyle w:val="Heading1"/>
      </w:pPr>
      <w:r>
        <w:t>3 Research Methodology</w:t>
      </w:r>
    </w:p>
    <w:p>
      <w:r>
        <w:t>This chapter describes how the thesis was designed and carried out: why a systematic literature review is the appropriate method for the research questions, how the source material was collected, screened, and quality-assessed, and how the included evidence was analysed to produce the firm-level barrier framework. The chapter closes with the methodological limitations of the approach.</w:t>
      </w:r>
    </w:p>
    <w:p>
      <w:pPr>
        <w:pStyle w:val="Heading2"/>
      </w:pPr>
      <w:r>
        <w:t>3.1 Research Design</w:t>
      </w:r>
    </w:p>
    <w:p>
      <w:r>
        <w:t>The research method used in this thesis is a systematic literature review (SLR). The choice follows directly from the nature of the research question, which asks what barriers manufacturing firms face when implementing reshoring strategies from Asian markets, while the two sub-questions ask how these barriers can be categorised into a systematic firm-level framework and what managerial implications follow. Answering these questions does not require new primary observations, but rather a structured synthesis of evidence that already exists in dispersed form. A systematic review is appropriate for this purpose because it brings together the findings of the literature on a bounded question through explicit, documented, and reproducible procedures for searching, selecting, and analysing the literature (Snyder, 2019).</w:t>
      </w:r>
    </w:p>
    <w:p>
      <w:r>
        <w:t>According to Snyder (2019), a literature review can serve as a research methodology in its own right, and three review types can be distinguished — systematic, semi-systematic, and integrative — each suited to a different purpose. A systematic review is suitable for a question that is specific enough to be answered by identifying and evaluating a body of relevant studies according to predetermined criteria. The present research question is narrow and firm-level in focus, and a systematic design is therefore the most suitable of the three, despite the methodological heterogeneity of the underlying evidence. Snyder (2019) also outlines the review process in four phases — designing the review, conducting the review, analysis, and writing the review — and this sequence structures the remainder of the chapter. The framework is applied here as a general methodological justification and is complemented by dedicated reporting and synthesis guidance in the sections below.</w:t>
      </w:r>
    </w:p>
    <w:p>
      <w:r>
        <w:t>In keeping with this design, the thesis does not gather primary interview, survey, or company data; all evidence comes from previously published, peer-reviewed research. The contribution is therefore integrative: the review brings together findings from individual studies into a single firm-level framework of reshoring implementation barriers, in line with established review-based work in the reshoring field (Tsai &amp; Urmetzer, 2024). This design enables the study to answer the research questions directly while remaining transparent about the origin and strength of each piece of evidence.</w:t>
      </w:r>
    </w:p>
    <w:p>
      <w:pPr>
        <w:pStyle w:val="Heading2"/>
      </w:pPr>
      <w:r>
        <w:t>3.2 Data Collection Methods</w:t>
      </w:r>
    </w:p>
    <w:p>
      <w:r>
        <w:t>The literature search and selection were documented with reference to the PRISMA 2020 reporting guidelines (Page, McKenzie, et al., 2021; Page, Moher, et al., 2021), used here as a framework for reporting identification, screening, and inclusion rather than as a method of evidence synthesis. Google Scholar was the only literature-discovery platform used. The literature search began in late June 2026 and continued over several weeks, during which sources were identified through varying combinations of topic-related terms — reshoring, backshoring, manufacturing reshoring, reshoring barriers, reshoring implementation, and related terms concerning supplier dependence, capabilities, and production transfer — combined with backward and forward citation searching and Google Scholar's related-article suggestions. This process was exploratory rather than tied to a fixed set of search strings, and it was not documented prospectively, so its exact strings and result counts are not reported. By early July, this process had produced the main body of literature used in this thesis.</w:t>
      </w:r>
    </w:p>
    <w:p>
      <w:r>
        <w:t>To improve the transparency of the search process, a final documented update search was carried out in Google Scholar on 15 July 2026. Three predefined strings were run, covering the main barrier terminology, Asia/China-specific terminology, and a title-restricted sweep, with each run logged as it happened — search date, exact string, results displayed, records screened, and exclusions with reasons. This was a check on the existing corpus, not the start of the literature search. Across the three strings, 102 records were screened; eleven matched sources already in the corpus. The rest were excluded, mainly because they addressed reshoring at a macro or policy level, concerned nearshoring rather than genuine reshoring, or were inaccessible or not peer-reviewed. No new source was added as a result. The PRISMA flow diagram in Appendix A reports this update search together with the full-text stage of the earlier search process.</w:t>
      </w:r>
    </w:p>
    <w:p>
      <w:r>
        <w:t>Duplicate records were removed, after which titles, abstracts, and available full texts were checked against the eligibility criteria. Google Scholar does not filter automatically by peer-review status, publication type, or language, so these were checked manually for every candidate source. Only English-language sources with accessible full texts were considered, and a source needed to be relevant to manufacturing reshoring and to satisfy the thesis's definition of reshoring to enter the formal analytical sample.</w:t>
      </w:r>
    </w:p>
    <w:p>
      <w:r>
        <w:t>To qualify for the formal analytical sample, a study had to concern genuine reshoring — the return of previously offshored manufacturing to the firm's home country. Studies addressing China+1 configurations, China-to-Southeast-Asia relocation, re-offshoring, nearshoring without a return home, or foreign-to-foreign relocation were excluded from barrier coding, since these are not genuine reshoring; a small number were kept as contextual sources for the Introduction and Discussion instead. Because implementation evidence in the literature is not always broken down by host region, Asia specificity was recorded as a rating for every source rather than used as a strict inclusion filter, and only findings that explicitly link an Asian host location to a return home are reported as Asia-specific in the Results.</w:t>
      </w:r>
    </w:p>
    <w:p>
      <w:r>
        <w:t>The corpus consists of 34 sources. Twenty-one peer-reviewed reshoring studies form the formal analytical sample from which the barrier framework is developed. A further set of contextual and policy sources — covering, for example, macro-level relocation patterns and China+1 dynamics — supports the Introduction and Discussion but was excluded from barrier coding, since these sources describe the broader environment rather than firm-level implementation. Five methodology sources justify the research design and the coding and synthesis procedures and likewise contribute no barrier evidence. The PRISMA diagram in Appendix A accordingly documents the 21 studies in the formal analytical sample only; methodology sources are not counted, and contextual sources are reported separately.</w:t>
      </w:r>
    </w:p>
    <w:p>
      <w:r>
        <w:t>Every source in the formal sample was also characterised along two dimensions. The first records the type of evidence it provides — direct case-based findings, findings drawn from a literature review, conceptual argument, contextual background, or methodological guidance — since these carry different evidential weight and are never treated as equivalent. The second is an Asia-specificity rating (high, medium, or low), assigned as high only when a source's data or case explicitly links an Asian host location to a return home. These two dimensions shaped how the evidence was interpreted and reported throughout the thesis, describing the relevance and type of each source rather than assessing its methodological quality. Screening and selection were carried out by a single researcher, which is noted here as a limitation.</w:t>
      </w:r>
    </w:p>
    <w:p>
      <w:pPr>
        <w:pStyle w:val="Heading2"/>
      </w:pPr>
      <w:r>
        <w:t>3.3 Data Analysis Techniques</w:t>
      </w:r>
    </w:p>
    <w:p>
      <w:r>
        <w:t>The included evidence was analysed through an adapted thematic synthesis based on Thomas and Harden (2008), who set out a transparent three-stage procedure for synthesising findings across studies. In the first stage, relevant findings reported in the included studies were coded at the level of meaningful evidence segments. In the second stage, conceptually similar codes were clustered into descriptive themes that stayed close to the content of the primary studies. In the third stage, the descriptive themes were interpreted to produce higher-order analytical themes that address the research questions and go beyond what any single study states in isolation. A key strength of this procedure is that it maintains an auditable trail from the review's conclusions back to the original text of the primary studies, so that each analytical theme can be traced through the descriptive themes to the coded evidence.</w:t>
      </w:r>
    </w:p>
    <w:p>
      <w:r>
        <w:t>The coding itself followed a hybrid deductive–inductive logic, for which Mayring (2014) provides the methodological foundation. Mayring (2014) treats qualitative content analysis as a systematic, rule-governed procedure in which deductive category application and inductive category development are complementary rather than mutually exclusive. Following this logic, the four organising categories of the thesis framework — regulatory/institutional, cultural/organisational, cost/operational, and asset/capability — were derived deductively from the theoretical framework and the research questions and applied as an a priori coding frame. The more specific barrier themes within each category were then developed inductively from the included studies, and category boundaries were adjusted where the a priori frame did not fully capture the coded material. This resulted in a set of barrier themes nested within the four deductive categories.</w:t>
      </w:r>
    </w:p>
    <w:p>
      <w:r>
        <w:t>Two coding rules protected the integrity of the synthesis. First, in line with the corpus's own decision rule, the three evidence types — direct empirical findings from a study's own data, findings reported through a literature review, and barriers argued on conceptual grounds — were coded and reported separately and never summed into a single frequency count, because a survey result, a review finding, and a conceptual argument do not carry equivalent evidential weight. Second, drivers and implementation barriers were kept strictly distinct: only difficulties in preparing, transferring, rebuilding, integrating, or stabilising production at home were coded as implementation barriers, while motives for considering reshoring — such as geopolitical tensions, rising Asian wages, or supply-chain disruptions — were not coded as barriers unless a study explicitly showed that they hindered the implementation process.</w:t>
      </w:r>
    </w:p>
    <w:p>
      <w:r>
        <w:t>Several methodological limitations follow from this design. As a secondary method, an SLR is constrained by the coverage, quality, and completeness of the published literature and by the risk of publication bias; it synthesises existing findings rather than observing reshoring directly. The reliance on a single discovery platform, the restriction to English-language sources with accessible full texts, and the retrospectively undocumented character of the original exploratory search introduce an additional accessibility bias that the documented update search mitigates but cannot remove. The corpus's own caution reinforces this point: because direct empirical, review, and conceptual evidence carry different weights, the strength of any barrier claim depends on the type of evidence behind it and cannot be inferred from how often the barrier is mentioned. Most importantly, genuinely Asia-specific direct implementation evidence rests on only a small number of cases — principally two single-case studies documenting returns from China — so Asia-specific findings are reported as illustrative rather than generalisable, a constraint stated explicitly in the results and the limitations discussion.</w:t>
      </w:r>
    </w:p>
    <w:p>
      <w:r>
        <w:t>To summarise, this chapter has argued that the systematic literature review is the method best matched to the research questions, explained how the 34-source corpus and its 21-source formal analytical sample were assembled, screened, and quality-assessed under PRISMA reporting, and outlined the hybrid deductive–inductive thematic synthesis through which the barriers were coded and organised. It has also stated the principal limitations of the approach and the rules that keep the evidence types separate and maintain the driver–barrier distinction. The following chapter presents the results of this synthesis, reporting the barriers identified in the literature within the four categories of the firm-level framework.</w:t>
      </w:r>
    </w:p>
    <w:p>
      <w:pPr>
        <w:pStyle w:val="Heading1"/>
      </w:pPr>
      <w:r>
        <w:t>4 Results</w:t>
      </w:r>
    </w:p>
    <w:p>
      <w:r>
        <w:t>This chapter reports the reshoring implementation barriers identified in the reviewed literature: first the evidence base on which the synthesis rests, then the findings category by category, ending with the asset/capability barriers, which carry the broadest support in the corpus.</w:t>
      </w:r>
    </w:p>
    <w:p>
      <w:pPr>
        <w:pStyle w:val="Heading2"/>
      </w:pPr>
      <w:r>
        <w:t>4.1 Overview of the Analytical Sample and Barrier Landscape</w:t>
      </w:r>
    </w:p>
    <w:p>
      <w:r>
        <w:t>The barrier synthesis draws on the 21-source formal analytical sample described in Chapter 3. Within that sample, fifteen sources contribute barrier evidence and are reported in this chapter; one further source (Tsai &amp; Urmetzer, 2024) belongs to the formal sample but serves terminology and framework purposes only and is not cited for any barrier finding. The synthesis organises the identified barriers into eighteen themes nested within the four categories of the firm-level framework, addressing the first sub-question of the thesis.</w:t>
      </w:r>
    </w:p>
    <w:p>
      <w:r>
        <w:t>The contributing evidence is of three distinct types. Direct empirical evidence comes from four core empirical studies (Boffelli et al., 2021; Li et al., 2025; Pegoraro et al., 2022; Pedroletti, 2025) and from two supporting empirical studies (Di Mauro et al., 2018; Mirzaei et al., 2021); a third supporting empirical study (Robinson &amp; Hsieh, 2016) contributes contextual evidence only. Literature-review evidence comes from six sources (Pedroletti &amp; Ciabuschi, 2023; Wiesmann et al., 2017; Espíndola et al., 2023; Di Stefano &amp; Fratocchi, 2019; Ocicka, 2016; Bilbao-Ubillos et al., 2024), and conceptual argument from two further sources (D'Ambrosio &amp; Lavoratori, 2025; Gupta et al., 2023). These types are reported separately in every section and are not aggregated into a single frequency, because a case observation, a review finding, and a conceptual argument do not carry equivalent evidential weight. Two of the core empirical studies (Pegoraro et al., 2022; Pedroletti, 2025) are single-case designs, and their findings are reported as individual cases rather than generalised.</w:t>
      </w:r>
    </w:p>
    <w:p>
      <w:r>
        <w:t>Genuinely Asia-specific direct implementation evidence is scarce. It rests on two single-case studies: a China-to-UK case (Pegoraro et al., 2022) and a China-to-Italy partial-reshoring case (Pedroletti, 2025). One multi-case study is partially attributable to an Asian host: in Di Mauro et al. (2018), two of the four case firms returned production from China, although the individual findings are not always attributed to those specific cases. The four fashion cases of Boffelli et al. (2021), by contrast, involved Romanian, Moroccan, Croatian, and Hungarian host locations, so that study's implementation findings enter the synthesis as general rather than Asia-specific evidence. The findings of Li et al. (2025) are likewise reported as general Nordic/Swedish evidence, with one exception noted in Section 4.2: the study explicitly names China among the host locations affected by strict layoff regulations.</w:t>
      </w:r>
    </w:p>
    <w:p>
      <w:r>
        <w:t>Each category is reported with its own table (Tables 1–4, in Sections 4.2 to 4.5), showing the evidence available for each theme by type and its Asia-specificity status; the complete coding table cross-referencing every theme to its contributing sources is provided in Appendix B.</w:t>
      </w:r>
    </w:p>
    <w:p>
      <w:pPr>
        <w:pStyle w:val="Heading2"/>
      </w:pPr>
      <w:r>
        <w:t>4.2 Regulatory/Institutional Barriers</w:t>
      </w:r>
    </w:p>
    <w:p>
      <w:r>
        <w:t>Of the four categories, the regulatory/institutional category is supported by the least direct empirical evidence: as Table 1 shows, only two of its themes have any direct empirical source, and one theme rests on review evidence alone. Most of the category's content is accordingly review-level or conceptual.</w:t>
      </w:r>
    </w:p>
    <w:p>
      <w:r>
        <w:rPr>
          <w:b/>
        </w:rPr>
        <w:t>Table 1.</w:t>
      </w:r>
      <w:r>
        <w:t xml:space="preserve"> </w:t>
      </w:r>
      <w:r>
        <w:rPr>
          <w:i/>
        </w:rPr>
        <w:t>Regulatory/institutional barrier themes, evidence types, and Asia-specificity status.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Pr>
                <w:b/>
                <w:sz w:val="20"/>
              </w:rPr>
              <w:t>Barrier theme</w:t>
            </w:r>
          </w:p>
        </w:tc>
        <w:tc>
          <w:tcPr>
            <w:tcW w:type="dxa" w:w="1872"/>
          </w:tcPr>
          <w:p>
            <w:pPr>
              <w:spacing w:line="240" w:lineRule="auto"/>
            </w:pPr>
            <w:r>
              <w:rPr>
                <w:b/>
                <w:sz w:val="20"/>
              </w:rPr>
              <w:t>Direct empirical</w:t>
            </w:r>
          </w:p>
        </w:tc>
        <w:tc>
          <w:tcPr>
            <w:tcW w:type="dxa" w:w="1872"/>
          </w:tcPr>
          <w:p>
            <w:pPr>
              <w:spacing w:line="240" w:lineRule="auto"/>
            </w:pPr>
            <w:r>
              <w:rPr>
                <w:b/>
                <w:sz w:val="20"/>
              </w:rPr>
              <w:t>Review</w:t>
            </w:r>
          </w:p>
        </w:tc>
        <w:tc>
          <w:tcPr>
            <w:tcW w:type="dxa" w:w="1872"/>
          </w:tcPr>
          <w:p>
            <w:pPr>
              <w:spacing w:line="240" w:lineRule="auto"/>
            </w:pPr>
            <w:r>
              <w:rPr>
                <w:b/>
                <w:sz w:val="20"/>
              </w:rPr>
              <w:t>Conceptual</w:t>
            </w:r>
          </w:p>
        </w:tc>
        <w:tc>
          <w:tcPr>
            <w:tcW w:type="dxa" w:w="1872"/>
          </w:tcPr>
          <w:p>
            <w:pPr>
              <w:spacing w:line="240" w:lineRule="auto"/>
            </w:pPr>
            <w:r>
              <w:rPr>
                <w:b/>
                <w:sz w:val="20"/>
              </w:rPr>
              <w:t>Asia-specific status</w:t>
            </w:r>
          </w:p>
        </w:tc>
      </w:tr>
      <w:tr>
        <w:tc>
          <w:tcPr>
            <w:tcW w:type="dxa" w:w="1872"/>
          </w:tcPr>
          <w:p>
            <w:pPr>
              <w:spacing w:line="240" w:lineRule="auto"/>
            </w:pPr>
            <w:r>
              <w:rPr>
                <w:sz w:val="20"/>
              </w:rPr>
              <w:t>Host-country exit regulation</w:t>
            </w:r>
          </w:p>
        </w:tc>
        <w:tc>
          <w:tcPr>
            <w:tcW w:type="dxa" w:w="1872"/>
          </w:tcPr>
          <w:p>
            <w:pPr>
              <w:spacing w:line="240" w:lineRule="auto"/>
            </w:pPr>
            <w:r>
              <w:rPr>
                <w:sz w:val="20"/>
              </w:rPr>
              <w:t>Li et al. (2025)</w:t>
            </w:r>
          </w:p>
        </w:tc>
        <w:tc>
          <w:tcPr>
            <w:tcW w:type="dxa" w:w="1872"/>
          </w:tcPr>
          <w:p>
            <w:pPr>
              <w:spacing w:line="240" w:lineRule="auto"/>
            </w:pPr>
            <w:r>
              <w:rPr>
                <w:sz w:val="20"/>
              </w:rPr>
              <w:t>Di Stefano &amp; Fratocchi (2019)</w:t>
            </w:r>
          </w:p>
        </w:tc>
        <w:tc>
          <w:tcPr>
            <w:tcW w:type="dxa" w:w="1872"/>
          </w:tcPr>
          <w:p>
            <w:pPr>
              <w:spacing w:line="240" w:lineRule="auto"/>
            </w:pPr>
            <w:r>
              <w:rPr>
                <w:sz w:val="20"/>
              </w:rPr>
              <w:t>—</w:t>
            </w:r>
          </w:p>
        </w:tc>
        <w:tc>
          <w:tcPr>
            <w:tcW w:type="dxa" w:w="1872"/>
          </w:tcPr>
          <w:p>
            <w:pPr>
              <w:spacing w:line="240" w:lineRule="auto"/>
            </w:pPr>
            <w:r>
              <w:rPr>
                <w:sz w:val="20"/>
              </w:rPr>
              <w:t>Partial — Li et al. explicitly name China (and Poland) among the affected host locations</w:t>
            </w:r>
          </w:p>
        </w:tc>
      </w:tr>
      <w:tr>
        <w:tc>
          <w:tcPr>
            <w:tcW w:type="dxa" w:w="1872"/>
          </w:tcPr>
          <w:p>
            <w:pPr>
              <w:spacing w:line="240" w:lineRule="auto"/>
            </w:pPr>
            <w:r>
              <w:rPr>
                <w:sz w:val="20"/>
              </w:rPr>
              <w:t>Social-responsibility &amp; workforce-resistance exit constraints</w:t>
            </w:r>
          </w:p>
        </w:tc>
        <w:tc>
          <w:tcPr>
            <w:tcW w:type="dxa" w:w="1872"/>
          </w:tcPr>
          <w:p>
            <w:pPr>
              <w:spacing w:line="240" w:lineRule="auto"/>
            </w:pPr>
            <w:r>
              <w:rPr>
                <w:sz w:val="20"/>
              </w:rPr>
              <w:t>—</w:t>
            </w:r>
          </w:p>
        </w:tc>
        <w:tc>
          <w:tcPr>
            <w:tcW w:type="dxa" w:w="1872"/>
          </w:tcPr>
          <w:p>
            <w:pPr>
              <w:spacing w:line="240" w:lineRule="auto"/>
            </w:pPr>
            <w:r>
              <w:rPr>
                <w:sz w:val="20"/>
              </w:rPr>
              <w:t>Di Stefano &amp; Fratocchi (2019)</w:t>
            </w:r>
          </w:p>
        </w:tc>
        <w:tc>
          <w:tcPr>
            <w:tcW w:type="dxa" w:w="1872"/>
          </w:tcPr>
          <w:p>
            <w:pPr>
              <w:spacing w:line="240" w:lineRule="auto"/>
            </w:pPr>
            <w:r>
              <w:rPr>
                <w:sz w:val="20"/>
              </w:rPr>
              <w:t>—</w:t>
            </w:r>
          </w:p>
        </w:tc>
        <w:tc>
          <w:tcPr>
            <w:tcW w:type="dxa" w:w="1872"/>
          </w:tcPr>
          <w:p>
            <w:pPr>
              <w:spacing w:line="240" w:lineRule="auto"/>
            </w:pPr>
            <w:r>
              <w:rPr>
                <w:sz w:val="20"/>
              </w:rPr>
              <w:t>No</w:t>
            </w:r>
          </w:p>
        </w:tc>
      </w:tr>
      <w:tr>
        <w:tc>
          <w:tcPr>
            <w:tcW w:type="dxa" w:w="1872"/>
          </w:tcPr>
          <w:p>
            <w:pPr>
              <w:spacing w:line="240" w:lineRule="auto"/>
            </w:pPr>
            <w:r>
              <w:rPr>
                <w:sz w:val="20"/>
              </w:rPr>
              <w:t>Home-country compliance burden &amp; institutional frictions</w:t>
            </w:r>
          </w:p>
        </w:tc>
        <w:tc>
          <w:tcPr>
            <w:tcW w:type="dxa" w:w="1872"/>
          </w:tcPr>
          <w:p>
            <w:pPr>
              <w:spacing w:line="240" w:lineRule="auto"/>
            </w:pPr>
            <w:r>
              <w:rPr>
                <w:sz w:val="20"/>
              </w:rPr>
              <w:t>Mirzaei et al. (2021)</w:t>
            </w:r>
          </w:p>
        </w:tc>
        <w:tc>
          <w:tcPr>
            <w:tcW w:type="dxa" w:w="1872"/>
          </w:tcPr>
          <w:p>
            <w:pPr>
              <w:spacing w:line="240" w:lineRule="auto"/>
            </w:pPr>
            <w:r>
              <w:rPr>
                <w:sz w:val="20"/>
              </w:rPr>
              <w:t>—</w:t>
            </w:r>
          </w:p>
        </w:tc>
        <w:tc>
          <w:tcPr>
            <w:tcW w:type="dxa" w:w="1872"/>
          </w:tcPr>
          <w:p>
            <w:pPr>
              <w:spacing w:line="240" w:lineRule="auto"/>
            </w:pPr>
            <w:r>
              <w:rPr>
                <w:sz w:val="20"/>
              </w:rPr>
              <w:t>Gupta et al. (2023)</w:t>
            </w:r>
          </w:p>
        </w:tc>
        <w:tc>
          <w:tcPr>
            <w:tcW w:type="dxa" w:w="1872"/>
          </w:tcPr>
          <w:p>
            <w:pPr>
              <w:spacing w:line="240" w:lineRule="auto"/>
            </w:pPr>
            <w:r>
              <w:rPr>
                <w:sz w:val="20"/>
              </w:rPr>
              <w:t>No</w:t>
            </w:r>
          </w:p>
        </w:tc>
      </w:tr>
    </w:tbl>
    <w:p>
      <w:r>
        <w:t>The first theme concerns host-country constraints on exiting the offshore operation. Among the Swedish manufacturing firms studied by Li et al. (2025), strict host-country layoff regulations, the inability to close or reduce offshore operations quickly, locked investments, and substantial exit costs were identified as barriers; the study explicitly names Poland and China among the offshored locations where strict layoff regulations applied, although the finding is reported across the sample rather than disaggregated by individual host country. The review literature reports convergent constraints: Di Stefano and Fratocchi (2019) note national closure regulations, foreign-plant exit costs in the form of closure fees and fiscal obligations, and host-country layoff constraints as obstacles to exiting offshore production discussed in the back-shoring literature. Together, the direct finding and the review evidence indicate that the disengagement side of reshoring can itself be regulated in ways that delay or burden implementation.</w:t>
      </w:r>
    </w:p>
    <w:p>
      <w:r>
        <w:t>The review literature adds a social dimension to exit that operates alongside formal regulation. Di Stefano and Fratocchi (2019) report that social-responsibility considerations — managerial reluctance to close a facility or lay off its workforce — can constrain the decision and implementation of foreign-plant closure, and the same review notes potential employee resistance during the closure of foreign production facilities, although the available evidence for this latter point is limited and context-dependent. None of the empirical studies in the sample observes these constraints directly; they rest on review evidence alone.</w:t>
      </w:r>
    </w:p>
    <w:p>
      <w:r>
        <w:t>On the home side, institutional frictions take a different form. Mirzaei et al. (2021) identify a mismatch between the national education system and manufacturing skill needs as a challenge to competitive domestic manufacturing — a constraint an individual firm cannot readily change. Conceptually, Gupta et al. (2023) identify home-country regulatory compliance — labour regulation, environmental standards, taxation, and production permits — as a constraint that becomes a barrier where it adds significant cost, delay, or capability demands.</w:t>
      </w:r>
    </w:p>
    <w:p>
      <w:pPr>
        <w:pStyle w:val="Heading2"/>
      </w:pPr>
      <w:r>
        <w:t>4.3 Cultural/Organisational Barriers</w:t>
      </w:r>
    </w:p>
    <w:p>
      <w:r>
        <w:rPr>
          <w:b/>
        </w:rPr>
        <w:t>Table 2.</w:t>
      </w:r>
      <w:r>
        <w:t xml:space="preserve"> </w:t>
      </w:r>
      <w:r>
        <w:rPr>
          <w:i/>
        </w:rPr>
        <w:t>Cultural/organisational barrier themes, evidence types, and Asia-specificity status.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Pr>
                <w:b/>
                <w:sz w:val="20"/>
              </w:rPr>
              <w:t>Barrier theme</w:t>
            </w:r>
          </w:p>
        </w:tc>
        <w:tc>
          <w:tcPr>
            <w:tcW w:type="dxa" w:w="1872"/>
          </w:tcPr>
          <w:p>
            <w:pPr>
              <w:spacing w:line="240" w:lineRule="auto"/>
            </w:pPr>
            <w:r>
              <w:rPr>
                <w:b/>
                <w:sz w:val="20"/>
              </w:rPr>
              <w:t>Direct empirical</w:t>
            </w:r>
          </w:p>
        </w:tc>
        <w:tc>
          <w:tcPr>
            <w:tcW w:type="dxa" w:w="1872"/>
          </w:tcPr>
          <w:p>
            <w:pPr>
              <w:spacing w:line="240" w:lineRule="auto"/>
            </w:pPr>
            <w:r>
              <w:rPr>
                <w:b/>
                <w:sz w:val="20"/>
              </w:rPr>
              <w:t>Review</w:t>
            </w:r>
          </w:p>
        </w:tc>
        <w:tc>
          <w:tcPr>
            <w:tcW w:type="dxa" w:w="1872"/>
          </w:tcPr>
          <w:p>
            <w:pPr>
              <w:spacing w:line="240" w:lineRule="auto"/>
            </w:pPr>
            <w:r>
              <w:rPr>
                <w:b/>
                <w:sz w:val="20"/>
              </w:rPr>
              <w:t>Conceptual</w:t>
            </w:r>
          </w:p>
        </w:tc>
        <w:tc>
          <w:tcPr>
            <w:tcW w:type="dxa" w:w="1872"/>
          </w:tcPr>
          <w:p>
            <w:pPr>
              <w:spacing w:line="240" w:lineRule="auto"/>
            </w:pPr>
            <w:r>
              <w:rPr>
                <w:b/>
                <w:sz w:val="20"/>
              </w:rPr>
              <w:t>Asia-specific status</w:t>
            </w:r>
          </w:p>
        </w:tc>
      </w:tr>
      <w:tr>
        <w:tc>
          <w:tcPr>
            <w:tcW w:type="dxa" w:w="1872"/>
          </w:tcPr>
          <w:p>
            <w:pPr>
              <w:spacing w:line="240" w:lineRule="auto"/>
            </w:pPr>
            <w:r>
              <w:rPr>
                <w:sz w:val="20"/>
              </w:rPr>
              <w:t>Organisational readiness, behavioural biases, learning-by-trial</w:t>
            </w:r>
          </w:p>
        </w:tc>
        <w:tc>
          <w:tcPr>
            <w:tcW w:type="dxa" w:w="1872"/>
          </w:tcPr>
          <w:p>
            <w:pPr>
              <w:spacing w:line="240" w:lineRule="auto"/>
            </w:pPr>
            <w:r>
              <w:rPr>
                <w:sz w:val="20"/>
              </w:rPr>
              <w:t>Boffelli et al. (2021)</w:t>
            </w:r>
          </w:p>
        </w:tc>
        <w:tc>
          <w:tcPr>
            <w:tcW w:type="dxa" w:w="1872"/>
          </w:tcPr>
          <w:p>
            <w:pPr>
              <w:spacing w:line="240" w:lineRule="auto"/>
            </w:pPr>
            <w:r>
              <w:rPr>
                <w:sz w:val="20"/>
              </w:rPr>
              <w:t>Wiesmann et al. (2017)</w:t>
            </w:r>
          </w:p>
        </w:tc>
        <w:tc>
          <w:tcPr>
            <w:tcW w:type="dxa" w:w="1872"/>
          </w:tcPr>
          <w:p>
            <w:pPr>
              <w:spacing w:line="240" w:lineRule="auto"/>
            </w:pPr>
            <w:r>
              <w:rPr>
                <w:sz w:val="20"/>
              </w:rPr>
              <w:t>D'Ambrosio &amp; Lavoratori (2025)</w:t>
            </w:r>
          </w:p>
        </w:tc>
        <w:tc>
          <w:tcPr>
            <w:tcW w:type="dxa" w:w="1872"/>
          </w:tcPr>
          <w:p>
            <w:pPr>
              <w:spacing w:line="240" w:lineRule="auto"/>
            </w:pPr>
            <w:r>
              <w:rPr>
                <w:sz w:val="20"/>
              </w:rPr>
              <w:t>No — Boffelli et al.'s hosts were European and North African</w:t>
            </w:r>
          </w:p>
        </w:tc>
      </w:tr>
      <w:tr>
        <w:tc>
          <w:tcPr>
            <w:tcW w:type="dxa" w:w="1872"/>
          </w:tcPr>
          <w:p>
            <w:pPr>
              <w:spacing w:line="240" w:lineRule="auto"/>
            </w:pPr>
            <w:r>
              <w:rPr>
                <w:sz w:val="20"/>
              </w:rPr>
              <w:t>Intra-organisational silos &amp; weak employee involvement</w:t>
            </w:r>
          </w:p>
        </w:tc>
        <w:tc>
          <w:tcPr>
            <w:tcW w:type="dxa" w:w="1872"/>
          </w:tcPr>
          <w:p>
            <w:pPr>
              <w:spacing w:line="240" w:lineRule="auto"/>
            </w:pPr>
            <w:r>
              <w:rPr>
                <w:sz w:val="20"/>
              </w:rPr>
              <w:t>Mirzaei et al. (2021)</w:t>
            </w:r>
          </w:p>
        </w:tc>
        <w:tc>
          <w:tcPr>
            <w:tcW w:type="dxa" w:w="1872"/>
          </w:tcPr>
          <w:p>
            <w:pPr>
              <w:spacing w:line="240" w:lineRule="auto"/>
            </w:pPr>
            <w:r>
              <w:rPr>
                <w:sz w:val="20"/>
              </w:rPr>
              <w:t>—</w:t>
            </w:r>
          </w:p>
        </w:tc>
        <w:tc>
          <w:tcPr>
            <w:tcW w:type="dxa" w:w="1872"/>
          </w:tcPr>
          <w:p>
            <w:pPr>
              <w:spacing w:line="240" w:lineRule="auto"/>
            </w:pPr>
            <w:r>
              <w:rPr>
                <w:sz w:val="20"/>
              </w:rPr>
              <w:t>—</w:t>
            </w:r>
          </w:p>
        </w:tc>
        <w:tc>
          <w:tcPr>
            <w:tcW w:type="dxa" w:w="1872"/>
          </w:tcPr>
          <w:p>
            <w:pPr>
              <w:spacing w:line="240" w:lineRule="auto"/>
            </w:pPr>
            <w:r>
              <w:rPr>
                <w:sz w:val="20"/>
              </w:rPr>
              <w:t>No</w:t>
            </w:r>
          </w:p>
        </w:tc>
      </w:tr>
      <w:tr>
        <w:tc>
          <w:tcPr>
            <w:tcW w:type="dxa" w:w="1872"/>
          </w:tcPr>
          <w:p>
            <w:pPr>
              <w:spacing w:line="240" w:lineRule="auto"/>
            </w:pPr>
            <w:r>
              <w:rPr>
                <w:sz w:val="20"/>
              </w:rPr>
              <w:t>Adverse host-supplier relational response</w:t>
            </w:r>
          </w:p>
        </w:tc>
        <w:tc>
          <w:tcPr>
            <w:tcW w:type="dxa" w:w="1872"/>
          </w:tcPr>
          <w:p>
            <w:pPr>
              <w:spacing w:line="240" w:lineRule="auto"/>
            </w:pPr>
            <w:r>
              <w:rPr>
                <w:sz w:val="20"/>
              </w:rPr>
              <w:t>Pedroletti (2025)</w:t>
            </w:r>
          </w:p>
        </w:tc>
        <w:tc>
          <w:tcPr>
            <w:tcW w:type="dxa" w:w="1872"/>
          </w:tcPr>
          <w:p>
            <w:pPr>
              <w:spacing w:line="240" w:lineRule="auto"/>
            </w:pPr>
            <w:r>
              <w:rPr>
                <w:sz w:val="20"/>
              </w:rPr>
              <w:t>—</w:t>
            </w:r>
          </w:p>
        </w:tc>
        <w:tc>
          <w:tcPr>
            <w:tcW w:type="dxa" w:w="1872"/>
          </w:tcPr>
          <w:p>
            <w:pPr>
              <w:spacing w:line="240" w:lineRule="auto"/>
            </w:pPr>
            <w:r>
              <w:rPr>
                <w:sz w:val="20"/>
              </w:rPr>
              <w:t>—</w:t>
            </w:r>
          </w:p>
        </w:tc>
        <w:tc>
          <w:tcPr>
            <w:tcW w:type="dxa" w:w="1872"/>
          </w:tcPr>
          <w:p>
            <w:pPr>
              <w:spacing w:line="240" w:lineRule="auto"/>
            </w:pPr>
            <w:r>
              <w:rPr>
                <w:sz w:val="20"/>
              </w:rPr>
              <w:t>Yes — Pedroletti (single case)</w:t>
            </w:r>
          </w:p>
        </w:tc>
      </w:tr>
      <w:tr>
        <w:tc>
          <w:tcPr>
            <w:tcW w:type="dxa" w:w="1872"/>
          </w:tcPr>
          <w:p>
            <w:pPr>
              <w:spacing w:line="240" w:lineRule="auto"/>
            </w:pPr>
            <w:r>
              <w:rPr>
                <w:sz w:val="20"/>
              </w:rPr>
              <w:t>Governance mode of the return (gap)</w:t>
            </w:r>
          </w:p>
        </w:tc>
        <w:tc>
          <w:tcPr>
            <w:tcW w:type="dxa" w:w="1872"/>
          </w:tcPr>
          <w:p>
            <w:pPr>
              <w:spacing w:line="240" w:lineRule="auto"/>
            </w:pPr>
            <w:r>
              <w:rPr>
                <w:sz w:val="20"/>
              </w:rPr>
              <w:t>—</w:t>
            </w:r>
          </w:p>
        </w:tc>
        <w:tc>
          <w:tcPr>
            <w:tcW w:type="dxa" w:w="1872"/>
          </w:tcPr>
          <w:p>
            <w:pPr>
              <w:spacing w:line="240" w:lineRule="auto"/>
            </w:pPr>
            <w:r>
              <w:rPr>
                <w:sz w:val="20"/>
              </w:rPr>
              <w:t>Pedroletti &amp; Ciabuschi (2023)</w:t>
            </w:r>
          </w:p>
        </w:tc>
        <w:tc>
          <w:tcPr>
            <w:tcW w:type="dxa" w:w="1872"/>
          </w:tcPr>
          <w:p>
            <w:pPr>
              <w:spacing w:line="240" w:lineRule="auto"/>
            </w:pPr>
            <w:r>
              <w:rPr>
                <w:sz w:val="20"/>
              </w:rPr>
              <w:t>—</w:t>
            </w:r>
          </w:p>
        </w:tc>
        <w:tc>
          <w:tcPr>
            <w:tcW w:type="dxa" w:w="1872"/>
          </w:tcPr>
          <w:p>
            <w:pPr>
              <w:spacing w:line="240" w:lineRule="auto"/>
            </w:pPr>
            <w:r>
              <w:rPr>
                <w:sz w:val="20"/>
              </w:rPr>
              <w:t>No — reported as under-researched dimension</w:t>
            </w:r>
          </w:p>
        </w:tc>
      </w:tr>
      <w:tr>
        <w:tc>
          <w:tcPr>
            <w:tcW w:type="dxa" w:w="1872"/>
          </w:tcPr>
          <w:p>
            <w:pPr>
              <w:spacing w:line="240" w:lineRule="auto"/>
            </w:pPr>
            <w:r>
              <w:rPr>
                <w:sz w:val="20"/>
              </w:rPr>
              <w:t>Digital/organisational adaptation burden</w:t>
            </w:r>
          </w:p>
        </w:tc>
        <w:tc>
          <w:tcPr>
            <w:tcW w:type="dxa" w:w="1872"/>
          </w:tcPr>
          <w:p>
            <w:pPr>
              <w:spacing w:line="240" w:lineRule="auto"/>
            </w:pPr>
            <w:r>
              <w:rPr>
                <w:sz w:val="20"/>
              </w:rPr>
              <w:t>—</w:t>
            </w:r>
          </w:p>
        </w:tc>
        <w:tc>
          <w:tcPr>
            <w:tcW w:type="dxa" w:w="1872"/>
          </w:tcPr>
          <w:p>
            <w:pPr>
              <w:spacing w:line="240" w:lineRule="auto"/>
            </w:pPr>
            <w:r>
              <w:rPr>
                <w:sz w:val="20"/>
              </w:rPr>
              <w:t>Bilbao-Ubillos et al. (2024); Espíndola et al. (2023)</w:t>
            </w:r>
          </w:p>
        </w:tc>
        <w:tc>
          <w:tcPr>
            <w:tcW w:type="dxa" w:w="1872"/>
          </w:tcPr>
          <w:p>
            <w:pPr>
              <w:spacing w:line="240" w:lineRule="auto"/>
            </w:pPr>
            <w:r>
              <w:rPr>
                <w:sz w:val="20"/>
              </w:rPr>
              <w:t>Gupta et al. (2023); D'Ambrosio &amp; Lavoratori (2025)</w:t>
            </w:r>
          </w:p>
        </w:tc>
        <w:tc>
          <w:tcPr>
            <w:tcW w:type="dxa" w:w="1872"/>
          </w:tcPr>
          <w:p>
            <w:pPr>
              <w:spacing w:line="240" w:lineRule="auto"/>
            </w:pPr>
            <w:r>
              <w:rPr>
                <w:sz w:val="20"/>
              </w:rPr>
              <w:t>No</w:t>
            </w:r>
          </w:p>
        </w:tc>
      </w:tr>
    </w:tbl>
    <w:p>
      <w:r>
        <w:t>The strongest direct evidence in this category concerns the implementation stage itself. Across the four fashion-industry relocation cases studied by Boffelli et al. (2021), the failure of relocation initiatives was directly connected to mistakes made in the implementation phase, and the study identifies insufficient internal organisational readiness, managerial behavioural biases, and learning through trial-and-error during implementation as implementation-stage problems; its central conclusion is that reshoring succeeds only if firms manage implementation correctly. The cases involved Romanian, Moroccan, Croatian, and Hungarian host locations, so these findings enter the synthesis as general implementation evidence rather than Asia-specific evidence. The review literature reports related organisational weaknesses — the immaturity of firms' reshoring processes and internal communication gaps (Wiesmann et al., 2017) — and, conceptually, a managerial-capability gap has been argued to constrain reshoring particularly for smaller firms (D'Ambrosio &amp; Lavoratori, 2025).</w:t>
      </w:r>
    </w:p>
    <w:p>
      <w:r>
        <w:t>A second, comparatively rare finding concerns the firm's internal structure. Mirzaei et al. (2021) identify silos between product development, production, sourcing, sales, and finance, and insufficient employee involvement, as challenges to competitive domestic manufacturing. This is a single study's evidence from the general Swedish home-country context rather than a corpus-wide pattern.</w:t>
      </w:r>
    </w:p>
    <w:p>
      <w:r>
        <w:t>The inter-firm relational dimension emerges from the China-to-Italy partial-reshoring case (Pedroletti, 2025). Reducing the activities conducted by the Chinese supplier lowered the level of interaction and risked the reshoring firm being perceived as an unreliable partner, hampering the supplier's trust and mutual orientation; the supplier may end the relationship or turn to a competitor. This adverse supplier response is a finding of one detailed case and is not generalised beyond it.</w:t>
      </w:r>
    </w:p>
    <w:p>
      <w:r>
        <w:t>One organisational question remains largely open in the literature: the governance mode of the return — whether reshored production is rebuilt in-house or outsourced to a domestic supplier — is identified as an under-researched dimension of reshoring rather than a documented barrier (Pedroletti &amp; Ciabuschi, 2023), and it is recorded here as a gap in the evidence.</w:t>
      </w:r>
    </w:p>
    <w:p>
      <w:r>
        <w:t>Finally, where reshoring is technology-enabled, an organisational-adaptation burden is reported consistently at review level. Digital adaptation requires changing routines, responsibilities, information flows, and supplier and customer relationships rather than merely purchasing technology, alongside a shortage of digital technical skills (Bilbao-Ubillos et al., 2024); technology-implementation readiness and the absence of a valid business model preceding the technology choice are likewise reported among barriers at the intersection of reshoring and Industry 4.0 (Espíndola et al., 2023). Conceptually, Industry 4.0 is framed as playing a dual role — an enabler of reshoring that simultaneously imposes new requirements in digital skills, investment, integration, and organisational adaptation (Gupta et al., 2023) — and an automation-scale threshold has been argued whereby automation does not automatically ease reshoring (D'Ambrosio &amp; Lavoratori, 2025). No direct empirical study in the sample observes this theme.</w:t>
      </w:r>
    </w:p>
    <w:p>
      <w:pPr>
        <w:pStyle w:val="Heading2"/>
      </w:pPr>
      <w:r>
        <w:t>4.4 Cost/Operational Barriers</w:t>
      </w:r>
    </w:p>
    <w:p>
      <w:r>
        <w:rPr>
          <w:b/>
        </w:rPr>
        <w:t>Table 3.</w:t>
      </w:r>
      <w:r>
        <w:t xml:space="preserve"> </w:t>
      </w:r>
      <w:r>
        <w:rPr>
          <w:i/>
        </w:rPr>
        <w:t>Cost/operational barrier themes, evidence types, and Asia-specificity status.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Pr>
                <w:b/>
                <w:sz w:val="20"/>
              </w:rPr>
              <w:t>Barrier theme</w:t>
            </w:r>
          </w:p>
        </w:tc>
        <w:tc>
          <w:tcPr>
            <w:tcW w:type="dxa" w:w="1872"/>
          </w:tcPr>
          <w:p>
            <w:pPr>
              <w:spacing w:line="240" w:lineRule="auto"/>
            </w:pPr>
            <w:r>
              <w:rPr>
                <w:b/>
                <w:sz w:val="20"/>
              </w:rPr>
              <w:t>Direct empirical</w:t>
            </w:r>
          </w:p>
        </w:tc>
        <w:tc>
          <w:tcPr>
            <w:tcW w:type="dxa" w:w="1872"/>
          </w:tcPr>
          <w:p>
            <w:pPr>
              <w:spacing w:line="240" w:lineRule="auto"/>
            </w:pPr>
            <w:r>
              <w:rPr>
                <w:b/>
                <w:sz w:val="20"/>
              </w:rPr>
              <w:t>Review</w:t>
            </w:r>
          </w:p>
        </w:tc>
        <w:tc>
          <w:tcPr>
            <w:tcW w:type="dxa" w:w="1872"/>
          </w:tcPr>
          <w:p>
            <w:pPr>
              <w:spacing w:line="240" w:lineRule="auto"/>
            </w:pPr>
            <w:r>
              <w:rPr>
                <w:b/>
                <w:sz w:val="20"/>
              </w:rPr>
              <w:t>Conceptual</w:t>
            </w:r>
          </w:p>
        </w:tc>
        <w:tc>
          <w:tcPr>
            <w:tcW w:type="dxa" w:w="1872"/>
          </w:tcPr>
          <w:p>
            <w:pPr>
              <w:spacing w:line="240" w:lineRule="auto"/>
            </w:pPr>
            <w:r>
              <w:rPr>
                <w:b/>
                <w:sz w:val="20"/>
              </w:rPr>
              <w:t>Asia-specific status</w:t>
            </w:r>
          </w:p>
        </w:tc>
      </w:tr>
      <w:tr>
        <w:tc>
          <w:tcPr>
            <w:tcW w:type="dxa" w:w="1872"/>
          </w:tcPr>
          <w:p>
            <w:pPr>
              <w:spacing w:line="240" w:lineRule="auto"/>
            </w:pPr>
            <w:r>
              <w:rPr>
                <w:sz w:val="20"/>
              </w:rPr>
              <w:t>Hollowed-out supply base / supplier-network rebuilding</w:t>
            </w:r>
          </w:p>
        </w:tc>
        <w:tc>
          <w:tcPr>
            <w:tcW w:type="dxa" w:w="1872"/>
          </w:tcPr>
          <w:p>
            <w:pPr>
              <w:spacing w:line="240" w:lineRule="auto"/>
            </w:pPr>
            <w:r>
              <w:rPr>
                <w:sz w:val="20"/>
              </w:rPr>
              <w:t>Mirzaei et al. (2021); Di Mauro et al. (2018)</w:t>
            </w:r>
          </w:p>
        </w:tc>
        <w:tc>
          <w:tcPr>
            <w:tcW w:type="dxa" w:w="1872"/>
          </w:tcPr>
          <w:p>
            <w:pPr>
              <w:spacing w:line="240" w:lineRule="auto"/>
            </w:pPr>
            <w:r>
              <w:rPr>
                <w:sz w:val="20"/>
              </w:rPr>
              <w:t>Wiesmann et al. (2017); Ocicka (2016)</w:t>
            </w:r>
          </w:p>
        </w:tc>
        <w:tc>
          <w:tcPr>
            <w:tcW w:type="dxa" w:w="1872"/>
          </w:tcPr>
          <w:p>
            <w:pPr>
              <w:spacing w:line="240" w:lineRule="auto"/>
            </w:pPr>
            <w:r>
              <w:rPr>
                <w:sz w:val="20"/>
              </w:rPr>
              <w:t>Gupta et al. (2023)</w:t>
            </w:r>
          </w:p>
        </w:tc>
        <w:tc>
          <w:tcPr>
            <w:tcW w:type="dxa" w:w="1872"/>
          </w:tcPr>
          <w:p>
            <w:pPr>
              <w:spacing w:line="240" w:lineRule="auto"/>
            </w:pPr>
            <w:r>
              <w:rPr>
                <w:sz w:val="20"/>
              </w:rPr>
              <w:t>Partial — Di Mauro et al. (2 of 4 cases from China, unattributed)</w:t>
            </w:r>
          </w:p>
        </w:tc>
      </w:tr>
      <w:tr>
        <w:tc>
          <w:tcPr>
            <w:tcW w:type="dxa" w:w="1872"/>
          </w:tcPr>
          <w:p>
            <w:pPr>
              <w:spacing w:line="240" w:lineRule="auto"/>
            </w:pPr>
            <w:r>
              <w:rPr>
                <w:sz w:val="20"/>
              </w:rPr>
              <w:t>New fixed costs &amp; switching/reconfiguration costs</w:t>
            </w:r>
          </w:p>
        </w:tc>
        <w:tc>
          <w:tcPr>
            <w:tcW w:type="dxa" w:w="1872"/>
          </w:tcPr>
          <w:p>
            <w:pPr>
              <w:spacing w:line="240" w:lineRule="auto"/>
            </w:pPr>
            <w:r>
              <w:rPr>
                <w:sz w:val="20"/>
              </w:rPr>
              <w:t>Li et al. (2025)</w:t>
            </w:r>
          </w:p>
        </w:tc>
        <w:tc>
          <w:tcPr>
            <w:tcW w:type="dxa" w:w="1872"/>
          </w:tcPr>
          <w:p>
            <w:pPr>
              <w:spacing w:line="240" w:lineRule="auto"/>
            </w:pPr>
            <w:r>
              <w:rPr>
                <w:sz w:val="20"/>
              </w:rPr>
              <w:t>Espíndola et al. (2023)</w:t>
            </w:r>
          </w:p>
        </w:tc>
        <w:tc>
          <w:tcPr>
            <w:tcW w:type="dxa" w:w="1872"/>
          </w:tcPr>
          <w:p>
            <w:pPr>
              <w:spacing w:line="240" w:lineRule="auto"/>
            </w:pPr>
            <w:r>
              <w:rPr>
                <w:sz w:val="20"/>
              </w:rPr>
              <w:t>D'Ambrosio &amp; Lavoratori (2025); Gupta et al. (2023)</w:t>
            </w:r>
          </w:p>
        </w:tc>
        <w:tc>
          <w:tcPr>
            <w:tcW w:type="dxa" w:w="1872"/>
          </w:tcPr>
          <w:p>
            <w:pPr>
              <w:spacing w:line="240" w:lineRule="auto"/>
            </w:pPr>
            <w:r>
              <w:rPr>
                <w:sz w:val="20"/>
              </w:rPr>
              <w:t>No</w:t>
            </w:r>
          </w:p>
        </w:tc>
      </w:tr>
      <w:tr>
        <w:tc>
          <w:tcPr>
            <w:tcW w:type="dxa" w:w="1872"/>
          </w:tcPr>
          <w:p>
            <w:pPr>
              <w:spacing w:line="240" w:lineRule="auto"/>
            </w:pPr>
            <w:r>
              <w:rPr>
                <w:sz w:val="20"/>
              </w:rPr>
              <w:t>High-cost home environment</w:t>
            </w:r>
          </w:p>
        </w:tc>
        <w:tc>
          <w:tcPr>
            <w:tcW w:type="dxa" w:w="1872"/>
          </w:tcPr>
          <w:p>
            <w:pPr>
              <w:spacing w:line="240" w:lineRule="auto"/>
            </w:pPr>
            <w:r>
              <w:rPr>
                <w:sz w:val="20"/>
              </w:rPr>
              <w:t>Mirzaei et al. (2021); Li et al. (2025)</w:t>
            </w:r>
          </w:p>
        </w:tc>
        <w:tc>
          <w:tcPr>
            <w:tcW w:type="dxa" w:w="1872"/>
          </w:tcPr>
          <w:p>
            <w:pPr>
              <w:spacing w:line="240" w:lineRule="auto"/>
            </w:pPr>
            <w:r>
              <w:rPr>
                <w:sz w:val="20"/>
              </w:rPr>
              <w:t>—</w:t>
            </w:r>
          </w:p>
        </w:tc>
        <w:tc>
          <w:tcPr>
            <w:tcW w:type="dxa" w:w="1872"/>
          </w:tcPr>
          <w:p>
            <w:pPr>
              <w:spacing w:line="240" w:lineRule="auto"/>
            </w:pPr>
            <w:r>
              <w:rPr>
                <w:sz w:val="20"/>
              </w:rPr>
              <w:t>D'Ambrosio &amp; Lavoratori (2025)</w:t>
            </w:r>
          </w:p>
        </w:tc>
        <w:tc>
          <w:tcPr>
            <w:tcW w:type="dxa" w:w="1872"/>
          </w:tcPr>
          <w:p>
            <w:pPr>
              <w:spacing w:line="240" w:lineRule="auto"/>
            </w:pPr>
            <w:r>
              <w:rPr>
                <w:sz w:val="20"/>
              </w:rPr>
              <w:t>No</w:t>
            </w:r>
          </w:p>
        </w:tc>
      </w:tr>
      <w:tr>
        <w:tc>
          <w:tcPr>
            <w:tcW w:type="dxa" w:w="1872"/>
          </w:tcPr>
          <w:p>
            <w:pPr>
              <w:spacing w:line="240" w:lineRule="auto"/>
            </w:pPr>
            <w:r>
              <w:rPr>
                <w:sz w:val="20"/>
              </w:rPr>
              <w:t>Hybrid-operation coordination complexity (partial reshoring)</w:t>
            </w:r>
          </w:p>
        </w:tc>
        <w:tc>
          <w:tcPr>
            <w:tcW w:type="dxa" w:w="1872"/>
          </w:tcPr>
          <w:p>
            <w:pPr>
              <w:spacing w:line="240" w:lineRule="auto"/>
            </w:pPr>
            <w:r>
              <w:rPr>
                <w:sz w:val="20"/>
              </w:rPr>
              <w:t>Pedroletti (2025)</w:t>
            </w:r>
          </w:p>
        </w:tc>
        <w:tc>
          <w:tcPr>
            <w:tcW w:type="dxa" w:w="1872"/>
          </w:tcPr>
          <w:p>
            <w:pPr>
              <w:spacing w:line="240" w:lineRule="auto"/>
            </w:pPr>
            <w:r>
              <w:rPr>
                <w:sz w:val="20"/>
              </w:rPr>
              <w:t>—</w:t>
            </w:r>
          </w:p>
        </w:tc>
        <w:tc>
          <w:tcPr>
            <w:tcW w:type="dxa" w:w="1872"/>
          </w:tcPr>
          <w:p>
            <w:pPr>
              <w:spacing w:line="240" w:lineRule="auto"/>
            </w:pPr>
            <w:r>
              <w:rPr>
                <w:sz w:val="20"/>
              </w:rPr>
              <w:t>—</w:t>
            </w:r>
          </w:p>
        </w:tc>
        <w:tc>
          <w:tcPr>
            <w:tcW w:type="dxa" w:w="1872"/>
          </w:tcPr>
          <w:p>
            <w:pPr>
              <w:spacing w:line="240" w:lineRule="auto"/>
            </w:pPr>
            <w:r>
              <w:rPr>
                <w:sz w:val="20"/>
              </w:rPr>
              <w:t>Yes — Pedroletti (single case)</w:t>
            </w:r>
          </w:p>
        </w:tc>
      </w:tr>
      <w:tr>
        <w:tc>
          <w:tcPr>
            <w:tcW w:type="dxa" w:w="1872"/>
          </w:tcPr>
          <w:p>
            <w:pPr>
              <w:spacing w:line="240" w:lineRule="auto"/>
            </w:pPr>
            <w:r>
              <w:rPr>
                <w:sz w:val="20"/>
              </w:rPr>
              <w:t>Underestimated operational adjustments</w:t>
            </w:r>
          </w:p>
        </w:tc>
        <w:tc>
          <w:tcPr>
            <w:tcW w:type="dxa" w:w="1872"/>
          </w:tcPr>
          <w:p>
            <w:pPr>
              <w:spacing w:line="240" w:lineRule="auto"/>
            </w:pPr>
            <w:r>
              <w:rPr>
                <w:sz w:val="20"/>
              </w:rPr>
              <w:t>Boffelli et al. (2021)</w:t>
            </w:r>
          </w:p>
        </w:tc>
        <w:tc>
          <w:tcPr>
            <w:tcW w:type="dxa" w:w="1872"/>
          </w:tcPr>
          <w:p>
            <w:pPr>
              <w:spacing w:line="240" w:lineRule="auto"/>
            </w:pPr>
            <w:r>
              <w:rPr>
                <w:sz w:val="20"/>
              </w:rPr>
              <w:t>—</w:t>
            </w:r>
          </w:p>
        </w:tc>
        <w:tc>
          <w:tcPr>
            <w:tcW w:type="dxa" w:w="1872"/>
          </w:tcPr>
          <w:p>
            <w:pPr>
              <w:spacing w:line="240" w:lineRule="auto"/>
            </w:pPr>
            <w:r>
              <w:rPr>
                <w:sz w:val="20"/>
              </w:rPr>
              <w:t>—</w:t>
            </w:r>
          </w:p>
        </w:tc>
        <w:tc>
          <w:tcPr>
            <w:tcW w:type="dxa" w:w="1872"/>
          </w:tcPr>
          <w:p>
            <w:pPr>
              <w:spacing w:line="240" w:lineRule="auto"/>
            </w:pPr>
            <w:r>
              <w:rPr>
                <w:sz w:val="20"/>
              </w:rPr>
              <w:t>No — hosts were Romania, Morocco, Croatia, and Hungary</w:t>
            </w:r>
          </w:p>
        </w:tc>
      </w:tr>
    </w:tbl>
    <w:p>
      <w:r>
        <w:t>The first cost/operational theme is the depleted domestic supply base. Mirzaei et al. (2021) find that firms may remain dependent on foreign suppliers even after production returns, because domestic materials, specialised components, supplier know-how, or sufficient local scale are lacking. Di Mauro et al. (2018) similarly report a depleted supply base in high-cost home countries and the need to rebuild suppliers as challenges entailed by backshoring; two of that study's four cases returned from China, although the individual findings are not attributed to specific cases. The review literature reinforces the theme: weak home-country supplier capacity, local networks, and supply-chain integration are reported as barriers (Wiesmann et al., 2017), and the erosion of domestic supplier networks is identified as an implementation concern discussed in the reshoring literature (Ocicka, 2016). Conceptually, a domestic quality-supplier gap is also noted (Gupta et al., 2023).</w:t>
      </w:r>
    </w:p>
    <w:p>
      <w:r>
        <w:t>The return itself generates new costs. Among the Swedish firms studied by Li et al. (2025), cost miscalculation was identified where actual cost difficulties arose during or after relocation. At review level, implementation-cost escalation and cost-coordination complexity are reported among the barriers at the reshoring–Industry 4.0 intersection (Espíndola et al., 2023). Conceptually, D'Ambrosio and Lavoratori (2025) describe the new fixed costs of reshoring — building or restoring a plant, acquiring equipment and automation, hiring and training workers, and rebuilding a domestic supplier network — as among the most direct implementation barriers, and switching and reconfiguration costs, including duplicate operations during the transition, are conceptually identified by Gupta et al. (2023). These new costs of the return are distinct from the sunk costs of the offshore operation, which are reported separately in Section 4.5.</w:t>
      </w:r>
    </w:p>
    <w:p>
      <w:r>
        <w:t>A high-cost home environment, in turn, constrains the viability and scale of reshoring rather than blocking physical relocation. Labour cost was named as a challenge by all five case firms studied by Mirzaei et al. (2021), alongside high energy and overhead costs; labour, overhead, and total costs were likewise among the prominent barriers reported across the Swedish firms studied by Li et al. (2025). Conceptually, a home-country factor-cost disadvantage is argued to affect the economic feasibility and scale of the return (D'Ambrosio &amp; Lavoratori, 2025). This theme is reported here strictly as a constraint on re-established domestic production, not as a motive in the original offshoring decision.</w:t>
      </w:r>
    </w:p>
    <w:p>
      <w:r>
        <w:t>Where only part of production returns, hybrid operation creates its own operational burden. In the China-to-Italy case (Pedroletti, 2025), partial reshoring split production between Italian and Chinese suppliers, requiring technically compatible components and more active cross-country coordination at additional cost; reducing the supplier base also left the firm dependent on fewer, non-substitutable partners, with reduced bargaining power and higher switching costs. This, too, is a single-case finding.</w:t>
      </w:r>
    </w:p>
    <w:p>
      <w:r>
        <w:t>Finally, the underestimation of operational adjustments during the transfer — linked to reconfiguring the manufacturing process and adapting internal production — emerged as the strongest implementation barrier in the multi-case fashion study of Boffelli et al. (2021). The finding is the study's own rating and is not extended beyond its four-case sample.</w:t>
      </w:r>
    </w:p>
    <w:p>
      <w:pPr>
        <w:pStyle w:val="Heading2"/>
      </w:pPr>
      <w:r>
        <w:t>4.5 Asset/Capability Barriers</w:t>
      </w:r>
    </w:p>
    <w:p>
      <w:r>
        <w:rPr>
          <w:b/>
        </w:rPr>
        <w:t>Table 4.</w:t>
      </w:r>
      <w:r>
        <w:t xml:space="preserve"> </w:t>
      </w:r>
      <w:r>
        <w:rPr>
          <w:i/>
        </w:rPr>
        <w:t>Asset/capability barrier themes, evidence types, and Asia-specificity status.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Pr>
                <w:b/>
                <w:sz w:val="20"/>
              </w:rPr>
              <w:t>Barrier theme</w:t>
            </w:r>
          </w:p>
        </w:tc>
        <w:tc>
          <w:tcPr>
            <w:tcW w:type="dxa" w:w="1872"/>
          </w:tcPr>
          <w:p>
            <w:pPr>
              <w:spacing w:line="240" w:lineRule="auto"/>
            </w:pPr>
            <w:r>
              <w:rPr>
                <w:b/>
                <w:sz w:val="20"/>
              </w:rPr>
              <w:t>Direct empirical</w:t>
            </w:r>
          </w:p>
        </w:tc>
        <w:tc>
          <w:tcPr>
            <w:tcW w:type="dxa" w:w="1872"/>
          </w:tcPr>
          <w:p>
            <w:pPr>
              <w:spacing w:line="240" w:lineRule="auto"/>
            </w:pPr>
            <w:r>
              <w:rPr>
                <w:b/>
                <w:sz w:val="20"/>
              </w:rPr>
              <w:t>Review</w:t>
            </w:r>
          </w:p>
        </w:tc>
        <w:tc>
          <w:tcPr>
            <w:tcW w:type="dxa" w:w="1872"/>
          </w:tcPr>
          <w:p>
            <w:pPr>
              <w:spacing w:line="240" w:lineRule="auto"/>
            </w:pPr>
            <w:r>
              <w:rPr>
                <w:b/>
                <w:sz w:val="20"/>
              </w:rPr>
              <w:t>Conceptual</w:t>
            </w:r>
          </w:p>
        </w:tc>
        <w:tc>
          <w:tcPr>
            <w:tcW w:type="dxa" w:w="1872"/>
          </w:tcPr>
          <w:p>
            <w:pPr>
              <w:spacing w:line="240" w:lineRule="auto"/>
            </w:pPr>
            <w:r>
              <w:rPr>
                <w:b/>
                <w:sz w:val="20"/>
              </w:rPr>
              <w:t>Asia-specific status</w:t>
            </w:r>
          </w:p>
        </w:tc>
      </w:tr>
      <w:tr>
        <w:tc>
          <w:tcPr>
            <w:tcW w:type="dxa" w:w="1872"/>
          </w:tcPr>
          <w:p>
            <w:pPr>
              <w:spacing w:line="240" w:lineRule="auto"/>
            </w:pPr>
            <w:r>
              <w:rPr>
                <w:sz w:val="20"/>
              </w:rPr>
              <w:t>Domestic skilled-labour &amp; competence gap</w:t>
            </w:r>
          </w:p>
        </w:tc>
        <w:tc>
          <w:tcPr>
            <w:tcW w:type="dxa" w:w="1872"/>
          </w:tcPr>
          <w:p>
            <w:pPr>
              <w:spacing w:line="240" w:lineRule="auto"/>
            </w:pPr>
            <w:r>
              <w:rPr>
                <w:sz w:val="20"/>
              </w:rPr>
              <w:t>Pegoraro et al. (2022); Li et al. (2025); Di Mauro et al. (2018); Mirzaei et al. (2021)</w:t>
            </w:r>
          </w:p>
        </w:tc>
        <w:tc>
          <w:tcPr>
            <w:tcW w:type="dxa" w:w="1872"/>
          </w:tcPr>
          <w:p>
            <w:pPr>
              <w:spacing w:line="240" w:lineRule="auto"/>
            </w:pPr>
            <w:r>
              <w:rPr>
                <w:sz w:val="20"/>
              </w:rPr>
              <w:t>Wiesmann et al. (2017); Ocicka (2016); Bilbao-Ubillos et al. (2024)</w:t>
            </w:r>
          </w:p>
        </w:tc>
        <w:tc>
          <w:tcPr>
            <w:tcW w:type="dxa" w:w="1872"/>
          </w:tcPr>
          <w:p>
            <w:pPr>
              <w:spacing w:line="240" w:lineRule="auto"/>
            </w:pPr>
            <w:r>
              <w:rPr>
                <w:sz w:val="20"/>
              </w:rPr>
              <w:t>D'Ambrosio &amp; Lavoratori (2025); Gupta et al. (2023)</w:t>
            </w:r>
          </w:p>
        </w:tc>
        <w:tc>
          <w:tcPr>
            <w:tcW w:type="dxa" w:w="1872"/>
          </w:tcPr>
          <w:p>
            <w:pPr>
              <w:spacing w:line="240" w:lineRule="auto"/>
            </w:pPr>
            <w:r>
              <w:rPr>
                <w:sz w:val="20"/>
              </w:rPr>
              <w:t>Yes — Pegoraro et al. (single China→UK case); others general/partial</w:t>
            </w:r>
          </w:p>
        </w:tc>
      </w:tr>
      <w:tr>
        <w:tc>
          <w:tcPr>
            <w:tcW w:type="dxa" w:w="1872"/>
          </w:tcPr>
          <w:p>
            <w:pPr>
              <w:spacing w:line="240" w:lineRule="auto"/>
            </w:pPr>
            <w:r>
              <w:rPr>
                <w:sz w:val="20"/>
              </w:rPr>
              <w:t>Domestic capacity, facilities &amp; machinery gap</w:t>
            </w:r>
          </w:p>
        </w:tc>
        <w:tc>
          <w:tcPr>
            <w:tcW w:type="dxa" w:w="1872"/>
          </w:tcPr>
          <w:p>
            <w:pPr>
              <w:spacing w:line="240" w:lineRule="auto"/>
            </w:pPr>
            <w:r>
              <w:rPr>
                <w:sz w:val="20"/>
              </w:rPr>
              <w:t>Pegoraro et al. (2022); Li et al. (2025); Mirzaei et al. (2021)</w:t>
            </w:r>
          </w:p>
        </w:tc>
        <w:tc>
          <w:tcPr>
            <w:tcW w:type="dxa" w:w="1872"/>
          </w:tcPr>
          <w:p>
            <w:pPr>
              <w:spacing w:line="240" w:lineRule="auto"/>
            </w:pPr>
            <w:r>
              <w:rPr>
                <w:sz w:val="20"/>
              </w:rPr>
              <w:t>Wiesmann et al. (2017)</w:t>
            </w:r>
          </w:p>
        </w:tc>
        <w:tc>
          <w:tcPr>
            <w:tcW w:type="dxa" w:w="1872"/>
          </w:tcPr>
          <w:p>
            <w:pPr>
              <w:spacing w:line="240" w:lineRule="auto"/>
            </w:pPr>
            <w:r>
              <w:rPr>
                <w:sz w:val="20"/>
              </w:rPr>
              <w:t>D'Ambrosio &amp; Lavoratori (2025); Gupta et al. (2023)</w:t>
            </w:r>
          </w:p>
        </w:tc>
        <w:tc>
          <w:tcPr>
            <w:tcW w:type="dxa" w:w="1872"/>
          </w:tcPr>
          <w:p>
            <w:pPr>
              <w:spacing w:line="240" w:lineRule="auto"/>
            </w:pPr>
            <w:r>
              <w:rPr>
                <w:sz w:val="20"/>
              </w:rPr>
              <w:t>Yes — Pegoraro et al. (single case); others general</w:t>
            </w:r>
          </w:p>
        </w:tc>
      </w:tr>
      <w:tr>
        <w:tc>
          <w:tcPr>
            <w:tcW w:type="dxa" w:w="1872"/>
          </w:tcPr>
          <w:p>
            <w:pPr>
              <w:spacing w:line="240" w:lineRule="auto"/>
            </w:pPr>
            <w:r>
              <w:rPr>
                <w:sz w:val="20"/>
              </w:rPr>
              <w:t>Host-supplier dependence &amp; knowledge lock-in</w:t>
            </w:r>
          </w:p>
        </w:tc>
        <w:tc>
          <w:tcPr>
            <w:tcW w:type="dxa" w:w="1872"/>
          </w:tcPr>
          <w:p>
            <w:pPr>
              <w:spacing w:line="240" w:lineRule="auto"/>
            </w:pPr>
            <w:r>
              <w:rPr>
                <w:sz w:val="20"/>
              </w:rPr>
              <w:t>Pedroletti (2025); Li et al. (2025)</w:t>
            </w:r>
          </w:p>
        </w:tc>
        <w:tc>
          <w:tcPr>
            <w:tcW w:type="dxa" w:w="1872"/>
          </w:tcPr>
          <w:p>
            <w:pPr>
              <w:spacing w:line="240" w:lineRule="auto"/>
            </w:pPr>
            <w:r>
              <w:rPr>
                <w:sz w:val="20"/>
              </w:rPr>
              <w:t>Wiesmann et al. (2017); Bilbao-Ubillos et al. (2024)</w:t>
            </w:r>
          </w:p>
        </w:tc>
        <w:tc>
          <w:tcPr>
            <w:tcW w:type="dxa" w:w="1872"/>
          </w:tcPr>
          <w:p>
            <w:pPr>
              <w:spacing w:line="240" w:lineRule="auto"/>
            </w:pPr>
            <w:r>
              <w:rPr>
                <w:sz w:val="20"/>
              </w:rPr>
              <w:t>Gupta et al. (2023)</w:t>
            </w:r>
          </w:p>
        </w:tc>
        <w:tc>
          <w:tcPr>
            <w:tcW w:type="dxa" w:w="1872"/>
          </w:tcPr>
          <w:p>
            <w:pPr>
              <w:spacing w:line="240" w:lineRule="auto"/>
            </w:pPr>
            <w:r>
              <w:rPr>
                <w:sz w:val="20"/>
              </w:rPr>
              <w:t>Yes — Pedroletti (single China→Italy case); others general</w:t>
            </w:r>
          </w:p>
        </w:tc>
      </w:tr>
      <w:tr>
        <w:tc>
          <w:tcPr>
            <w:tcW w:type="dxa" w:w="1872"/>
          </w:tcPr>
          <w:p>
            <w:pPr>
              <w:spacing w:line="240" w:lineRule="auto"/>
            </w:pPr>
            <w:r>
              <w:rPr>
                <w:sz w:val="20"/>
              </w:rPr>
              <w:t>GVC stickiness / offshore sunk-cost inertia</w:t>
            </w:r>
          </w:p>
        </w:tc>
        <w:tc>
          <w:tcPr>
            <w:tcW w:type="dxa" w:w="1872"/>
          </w:tcPr>
          <w:p>
            <w:pPr>
              <w:spacing w:line="240" w:lineRule="auto"/>
            </w:pPr>
            <w:r>
              <w:rPr>
                <w:sz w:val="20"/>
              </w:rPr>
              <w:t>—</w:t>
            </w:r>
          </w:p>
        </w:tc>
        <w:tc>
          <w:tcPr>
            <w:tcW w:type="dxa" w:w="1872"/>
          </w:tcPr>
          <w:p>
            <w:pPr>
              <w:spacing w:line="240" w:lineRule="auto"/>
            </w:pPr>
            <w:r>
              <w:rPr>
                <w:sz w:val="20"/>
              </w:rPr>
              <w:t>Bilbao-Ubillos et al. (2024)</w:t>
            </w:r>
          </w:p>
        </w:tc>
        <w:tc>
          <w:tcPr>
            <w:tcW w:type="dxa" w:w="1872"/>
          </w:tcPr>
          <w:p>
            <w:pPr>
              <w:spacing w:line="240" w:lineRule="auto"/>
            </w:pPr>
            <w:r>
              <w:rPr>
                <w:sz w:val="20"/>
              </w:rPr>
              <w:t>D'Ambrosio &amp; Lavoratori (2025)</w:t>
            </w:r>
          </w:p>
        </w:tc>
        <w:tc>
          <w:tcPr>
            <w:tcW w:type="dxa" w:w="1872"/>
          </w:tcPr>
          <w:p>
            <w:pPr>
              <w:spacing w:line="240" w:lineRule="auto"/>
            </w:pPr>
            <w:r>
              <w:rPr>
                <w:sz w:val="20"/>
              </w:rPr>
              <w:t>No</w:t>
            </w:r>
          </w:p>
        </w:tc>
      </w:tr>
      <w:tr>
        <w:tc>
          <w:tcPr>
            <w:tcW w:type="dxa" w:w="1872"/>
          </w:tcPr>
          <w:p>
            <w:pPr>
              <w:spacing w:line="240" w:lineRule="auto"/>
            </w:pPr>
            <w:r>
              <w:rPr>
                <w:sz w:val="20"/>
              </w:rPr>
              <w:t>Regional ecosystem readiness</w:t>
            </w:r>
          </w:p>
        </w:tc>
        <w:tc>
          <w:tcPr>
            <w:tcW w:type="dxa" w:w="1872"/>
          </w:tcPr>
          <w:p>
            <w:pPr>
              <w:spacing w:line="240" w:lineRule="auto"/>
            </w:pPr>
            <w:r>
              <w:rPr>
                <w:sz w:val="20"/>
              </w:rPr>
              <w:t>Pegoraro et al. (2022)</w:t>
            </w:r>
          </w:p>
        </w:tc>
        <w:tc>
          <w:tcPr>
            <w:tcW w:type="dxa" w:w="1872"/>
          </w:tcPr>
          <w:p>
            <w:pPr>
              <w:spacing w:line="240" w:lineRule="auto"/>
            </w:pPr>
            <w:r>
              <w:rPr>
                <w:sz w:val="20"/>
              </w:rPr>
              <w:t>Bilbao-Ubillos et al. (2024)</w:t>
            </w:r>
          </w:p>
        </w:tc>
        <w:tc>
          <w:tcPr>
            <w:tcW w:type="dxa" w:w="1872"/>
          </w:tcPr>
          <w:p>
            <w:pPr>
              <w:spacing w:line="240" w:lineRule="auto"/>
            </w:pPr>
            <w:r>
              <w:rPr>
                <w:sz w:val="20"/>
              </w:rPr>
              <w:t>—</w:t>
            </w:r>
          </w:p>
        </w:tc>
        <w:tc>
          <w:tcPr>
            <w:tcW w:type="dxa" w:w="1872"/>
          </w:tcPr>
          <w:p>
            <w:pPr>
              <w:spacing w:line="240" w:lineRule="auto"/>
            </w:pPr>
            <w:r>
              <w:rPr>
                <w:sz w:val="20"/>
              </w:rPr>
              <w:t>Yes — Pegoraro et al. (single case)</w:t>
            </w:r>
          </w:p>
        </w:tc>
      </w:tr>
    </w:tbl>
    <w:p>
      <w:r>
        <w:t>The loss of domestic skilled labour and manufacturing competence is the most broadly supported barrier in the corpus, appearing in direct case evidence, across the review literature, and in conceptual argument. In the China-to-UK case reported by Pegoraro et al. (2022), the firm initially lacked the knowledge to produce the part independently; workforce training and the learning curve — mastering new equipment, training staff, accumulating practical experience, and reaching acceptable quality — extended over roughly a twelve-month period in that case. Among Swedish firms, an internal competence gap reflecting competencies lost over years of offshoring was identified by Li et al. (2025), and a domestic skilled-labour shortage — loss of tacit knowledge, deficits in core manufacturing competencies, and high training time and cost — by Mirzaei et al. (2021). Di Mauro et al. (2018) report a scarcity of specialised manpower and the loss of domestic competences as constraints on implementing the return. At review level, a skilled-labour shortage and internal capability gap (Wiesmann et al., 2017), a technical-skills shortage together with a generational manufacturing-skills gap (Ocicka, 2016), and a digital technical-skills shortage (Bilbao-Ubillos et al., 2024) are reported; conceptually, a domestic skilled-workforce shortage (D'Ambrosio &amp; Lavoratori, 2025) and a domestic labour-availability gap (Gupta et al., 2023) are argued.</w:t>
      </w:r>
    </w:p>
    <w:p>
      <w:r>
        <w:t>Closely related is the physical side of capability rebuilding. The same China-to-UK case demonstrates that re-establishing production is more than acquiring a machine: the firm had to identify the needed technology, locate and integrate suitable equipment, and additionally obtain tooling, tooling suppliers, software, technical support, and specialised services — rebuilding an interconnected production system rather than making a single purchase (Pegoraro et al., 2022). A domestic capacity shortage and facilities and equipment constraints were identified among Swedish firms even after the reshoring decision had been made (Li et al., 2025), and a domestic production-capacity gap — insufficient facilities, equipment limits, and investment resources — is reported by Mirzaei et al. (2021). The review literature records a domestic capacity shortage and an infrastructure lock-out following prolonged offshoring (Wiesmann et al., 2017), and the theme is embedded conceptually in the new-fixed-costs argument (D'Ambrosio &amp; Lavoratori, 2025) and in a conceptually noted domestic infrastructure gap (Gupta et al., 2023).</w:t>
      </w:r>
    </w:p>
    <w:p>
      <w:r>
        <w:t>Capability constraints extend beyond the firm's own walls: specialised capabilities concentrated with the host-country supplier can be difficult to repatriate. In the China-to-Italy case (Pedroletti, 2025), persistent dependence on specialised Chinese supplier capabilities constrained how much production could return: the firm lacked the necessary production knowledge, experience with the components, specialised sourcing skills, and suitable domestic suppliers, so that partial rather than full reshoring functioned as a response to the practical impossibility of fully replacing the Chinese network. The gap concerned this specific, specialised capability rather than domestic manufacturing capacity in general. Supplier and intellectual-property dependence — where the firm does not fully control rights to a component or technology and cannot simply move production home — was likewise identified among Swedish firms (Li et al., 2025). At review level, host-supplier dependence (Wiesmann et al., 2017) and offshore knowledge dependence (Bilbao-Ubillos et al., 2024) are reported, and knowledge-transfer ambiguity — knowledge residing with offshore employees, subsidiaries, suppliers, or the host-country network — is conceptually identified (Gupta et al., 2023).</w:t>
      </w:r>
    </w:p>
    <w:p>
      <w:r>
        <w:t>Established value chains also exhibit inertia. Offshore sunk-cost inertia is reported at review level (Bilbao-Ubillos et al., 2024), and D'Ambrosio and Lavoratori (2025) argue conceptually that value chains are "sticky," particularly for large firms, owing to sunk investment, accumulated supplier relationships, specialised infrastructure, and location-specific knowledge. This theme rests on review and conceptual evidence, without direct empirical observation in the sample; the already-incurred offshore sunk costs it describes are distinct from the new fixed costs of the return reported in Section 4.4.</w:t>
      </w:r>
    </w:p>
    <w:p>
      <w:r>
        <w:t>Finally, a detailed UK case demonstrates that implementation depended on the readiness of the home region: the regional availability of skilled labour, specialised suppliers, equipment providers, policy support, and training institutions shaped the process, with gaps manifesting as added search and development time rather than absolute absence (Pegoraro et al., 2022). At review level, a related digital-ecosystem gap is reported: digital servitisation requires interaction with technology providers, data specialists, suppliers, and research institutions, whose absence becomes a barrier (Bilbao-Ubillos et al., 2024).</w:t>
      </w:r>
    </w:p>
    <w:p>
      <w:r>
        <w:t>In summary, this chapter has reported eighteen barrier themes across the four categories of the framework. The asset/capability category carries the broadest support, anchored by two Asia-specific single-case studies; the cost/operational and cultural/organisational categories combine direct empirical findings with review and conceptual support; and the regulatory/institutional category rests largely on review-level evidence. The following chapter interprets these findings, connects them to the theoretical perspectives of the thesis, and derives managerial implications.</w:t>
      </w:r>
    </w:p>
    <w:p>
      <w:pPr>
        <w:pStyle w:val="Heading1"/>
      </w:pPr>
      <w:r>
        <w:t>5 Discussion</w:t>
      </w:r>
    </w:p>
    <w:p>
      <w:r>
        <w:t>The previous chapter reported eighteen barrier themes across the four categories of the firm-level framework. This chapter moves from reporting to interpretation. It examines what the identified barriers mean for firms attempting to return production from Asian host countries, how the barriers relate to and reinforce one another, and why the pattern of evidence looks the way it does. The findings are then read through the two theoretical lenses of the thesis, Transaction Cost Economics and the Resource-Based View, in order to explain the underlying mechanisms rather than merely restate the observations. On this basis, the chapter derives managerial implications organised along the stages of the implementation process, before closing with an honest account of the limitations of the review and the research directions that follow from them. Throughout, interpretations developed by this thesis are distinguished from findings stated by the original studies, and direct implementation evidence is given greater analytical weight than review-level or conceptual material.</w:t>
      </w:r>
    </w:p>
    <w:p>
      <w:pPr>
        <w:pStyle w:val="Heading2"/>
      </w:pPr>
      <w:r>
        <w:t>5.1 Discussion of Results</w:t>
      </w:r>
    </w:p>
    <w:p>
      <w:r>
        <w:t>The most striking pattern in the results is the dominance of the asset/capability category. The domestic skills and competence gap is the only barrier theme supported by direct case evidence, review syntheses, and conceptual argument simultaneously, and the physical counterpart — missing capacity, machinery, and complementary tooling — is nearly as broadly supported. The evidence therefore indicates that the central difficulty of reshoring implementation is not primarily a matter of deciding correctly, or even of paying for the move, but of reconstructing productive capability that eroded during years of offshoring. The strongest evidence for this interpretation comes from the China-to-UK case reported by Pegoraro et al. (2022), in which acquiring the machinery was only the beginning: the firm also needed tooling, software, technical services, and roughly a year of workforce training before production reached acceptable quality. A single acquisition decision unfolded into a twelve-month capability-building process in this case, which illustrates more concretely than any aggregate finding why the implementation stage deserves separate analytical attention. General empirical evidence points in the same direction. Swedish firms reported competence gaps, facilities constraints, and capacity shortages even after the reshoring decision had been made (Li et al., 2025; Mirzaei et al., 2021), and returning firms in labour-intensive industries encountered a scarcity of specialised manpower (Di Mauro et al., 2018). Review-level syntheses record the same cluster across the wider literature (Wiesmann et al., 2017; Ocicka, 2016). Li et al.'s (2025) findings, however, are reported at the level of their Swedish sample and are not disaggregated by host country; they support the general pattern, not a China-specific claim.</w:t>
      </w:r>
    </w:p>
    <w:p>
      <w:r>
        <w:t>This capability reading explains why reshoring implementation is not simply offshoring in reverse. When production moved to Asia, it moved towards host locations that already possessed suppliers, skilled labour, and infrastructure; the offshoring firm could plug into an existing manufacturing ecosystem. The returning firm faces the opposite situation: the domestic ecosystem it left behind has partially disappeared. The review literature describes this as infrastructure lock-out and the hollowing-out of domestic supplier bases (Wiesmann et al., 2017; Ocicka, 2016), and the conceptual literature explains its persistence through the stickiness of established value chains (D'Ambrosio &amp; Lavoratori, 2025). This review adds that the asymmetry operates on both sides of the move at once. On the exit side, host-country layoff regulations, locked investments, and closure costs make leaving slow and expensive (Li et al., 2025; Di Stefano &amp; Fratocchi, 2019). On the arrival side, the firm must rebuild skills, equipment, and supplier relationships under the cost conditions of a high-wage economy (Mirzaei et al., 2021). A firm can therefore be caught between a host country that is costly to leave and a home country that is not ready to receive it — a combination that neither side's evidence, read alone, fully conveys.</w:t>
      </w:r>
    </w:p>
    <w:p>
      <w:r>
        <w:t>The results also suggest that barrier categories interact rather than operate independently. The clearest illustration is the China-to-Italy case reported by Pedroletti (2025). There, dependence on specialised Chinese supplier capabilities — an asset/capability barrier — made full reshoring practically impossible, which forced a partial return; partial return in turn split production between two countries, creating new coordination costs and reducing the firm's bargaining power towards its remaining suppliers — cost/operational barriers — while the reduced order volumes strained the supplier relationship itself, an organisational and relational barrier. One initial capability gap thus cascaded into operational and relational difficulties. A similar interaction appears between organisational readiness and every other category: Boffelli et al. (2021) found that relocation failures were directly connected to implementation-stage mistakes, which implies that weak readiness amplifies whatever other barriers a firm encounters, because problems that a prepared organisation could absorb become failures in an unprepared one. Organisational readiness is therefore better read not as one barrier among eighteen but as a condition that shapes how damaging the remaining barriers become. Boffelli et al.'s (2021) cases involved European and North African host countries rather than Asia, so this interpretation describes a general implementation mechanism rather than an Asia-specific finding.</w:t>
      </w:r>
    </w:p>
    <w:p>
      <w:r>
        <w:t>The distinction between full and partial reshoring deserves particular emphasis, because it changes what "barrier" means. In the conventional reading, a barrier is something that makes reshoring harder or more likely to fail. The evidence from Pedroletti (2025) shows a second possibility: barriers can constrain the scope of reshoring, producing a hybrid configuration in which part of production returns and part remains offshore. In that case, the barrier did not stop the project; it redefined it. This matters for interpretation because studies that record reshoring as a binary event may miss such partial outcomes entirely, and because a partial return generates its own ongoing operational burden — the fine-slicing coordination reported in the case — rather than a one-off transition cost. The evidence suggests, cautiously, that partial reshoring should be read not only as a strategic choice but sometimes as the observable footprint of implementation barriers that made a full return infeasible.</w:t>
      </w:r>
    </w:p>
    <w:p>
      <w:r>
        <w:t>Two qualifications discipline all of these interpretations. The genuinely Asia-specific direct evidence comes down to two documented cases — an automotive supplier returning from China to the United Kingdom (Pegoraro et al., 2022) and a manufacturer partially returning from China to Italy (Pedroletti, 2025). These cases converge on capability rebuilding and supplier dependence as the operative difficulties, which is consistent with the general pattern, but two cases from one host country cannot represent Asian markets as a whole, and nothing here should be read as a claim about, for instance, returns from Vietnam, India, or Indonesia. The second qualification concerns the thinness of the regulatory/institutional category, the least supported by direct empirical evidence. It may reflect genuine unimportance, but it may equally reflect the composition of the evidence base. Exit-side regulatory constraints were identified in the one study that looked for them systematically (Li et al., 2025) and recur in the review literature (Di Stefano &amp; Fratocchi, 2019), which suggests under-observation rather than absence. The categories are weighted here by the evidence they have, while acknowledging that absence of evidence is not evidence of absence.</w:t>
      </w:r>
    </w:p>
    <w:p>
      <w:r>
        <w:t>Taken together, the results answer the core research question as follows. The central barriers that manufacturing firms face when implementing reshoring from Asian markets are, on the strongest available evidence, the reconstruction of domestic capability — skills, machinery, tooling, and the surrounding ecosystem — and dependence on specialised host-country suppliers, compounded by underestimated operational adjustments and organisational readiness gaps during the transfer, by the new fixed and coordination costs of the return, and, less visibly but persistently, by host-country exit constraints. These barriers are unevenly evidenced, interact with one another, and in at least one documented case limited how much production could return at all.</w:t>
      </w:r>
    </w:p>
    <w:p>
      <w:pPr>
        <w:pStyle w:val="Heading2"/>
      </w:pPr>
      <w:r>
        <w:t>5.2 Theoretical Implications</w:t>
      </w:r>
    </w:p>
    <w:p>
      <w:r>
        <w:t>From a Transaction Cost Economics perspective (Williamson, 1985), the exit-side findings acquire a common logic. Asset specificity — investment committed to a particular exchange relationship — explains why offshore arrangements resist unwinding. The locked investments and substantial exit costs reported among Swedish firms (Li et al., 2025), the closure fees and layoff constraints recorded in the review literature (Di Stefano &amp; Fratocchi, 2019), and the contractual and intellectual-property dependencies that prevent a firm from simply relocating production it does not fully control (Li et al., 2025) are all, in transaction-cost terms, the price of dismantling governance structures built around specific assets. The same lens interprets the hybrid configuration that follows a partial return: coordinating production split between home and host locations, with technically interdependent components moving between them, is precisely the kind of exchange that generates ongoing transaction costs. The reduced bargaining power towards fewer, non-substitutable suppliers reported in the China-to-Italy case (Pedroletti, 2025) reflects the small-numbers dependency that transaction-cost reasoning associates with specific assets. Bounded rationality, finally, offers an interpretation of the miscalculation findings: firms underestimated operational adjustments (Boffelli et al., 2021) and encountered cost surprises during relocation (Li et al., 2025) not necessarily through negligence, but because the information needed for a complete ex ante calculation of an implementation process is not available in advance. Except where studies explicitly employ related frameworks, these are interpretations developed by this thesis; the reviewed studies did not test transaction-cost hypotheses, and this reading does not claim to validate the theory.</w:t>
      </w:r>
    </w:p>
    <w:p>
      <w:r>
        <w:t>Through a Resource-Based View lens (Barney, 1991), the arrival-side findings form an equally coherent picture. The capabilities that offshoring firms allowed to erode — manufacturing skills, tacit production knowledge, supplier relationships, and functioning regional ecosystems — are exactly the kinds of resources the theory identifies as difficult to imitate or acquire quickly: they are built through experience, embedded in people and routines, and dependent on complementary assets. This explains the most consistent finding of the review: capability gaps cannot be closed by purchase alone. The China-to-UK case demonstrates this in miniature — the machine could be bought, but the ability to operate it productively took a year of training and error-elimination to build (Pegoraro et al., 2022) — and the general evidence on skills shortages, generational knowledge loss, and supplier-network gaps (Di Mauro et al., 2018; Mirzaei et al., 2021; Ocicka, 2016) shows the same logic at sample level. An RBV reading also illuminates the regional ecosystem findings: the availability of skilled labour, specialised suppliers, and supporting institutions in the home region (Pegoraro et al., 2022) functions as a complementary resource endowment that individual firms draw on but cannot create alone.</w:t>
      </w:r>
    </w:p>
    <w:p>
      <w:r>
        <w:t>The two perspectives are most useful in combination, because several barriers are simultaneously transaction-cost and capability problems. Host-supplier dependence is the clearest example: from a TCE perspective it creates switching costs and a hold-up risk, while through an RBV lens it marks a capability the firm never internalised. The China-to-Italy case shows both faces at once, with the firm unable to replace the supplier's specialised capability (a resource gap) and simultaneously exposed to deteriorating relational terms as volumes fell (a governance problem) (Pedroletti, 2025). Taken together, the two perspectives also explain the central puzzle the thesis began with: why firms that have already decided to reshore still struggle to do it. The decision reflects a comparison of locations; the implementation requires dismantling specific governance arrangements (TCE) and rebuilding scarce resources (RBV), and neither task is captured by the location comparison itself.</w:t>
      </w:r>
    </w:p>
    <w:p>
      <w:r>
        <w:t>The limitation of this theoretical apparatus should be acknowledged. Two findings sit awkwardly within it: the adverse relational response of the Chinese supplier in Pedroletti's (2025) case is better captured by the network and embeddedness perspective the study itself employs, which treats trust and mutual orientation as relationship-level phenomena rather than firm-level costs or resources; and the education-system mismatch reported by Mirzaei et al. (2021) is an institutional condition that neither TCE nor RBV addresses directly, since no individual firm can transact or resource its way out of a national skills shortage. Using TCE and RBV as the organising lenses therefore brings analytical clarity at the price of leaving relational and institutional dynamics at the margins — a boundary that future theoretical work on reshoring implementation might address.</w:t>
      </w:r>
    </w:p>
    <w:p>
      <w:pPr>
        <w:pStyle w:val="Heading2"/>
      </w:pPr>
      <w:r>
        <w:t>5.3 Practical Implications</w:t>
      </w:r>
    </w:p>
    <w:p>
      <w:r>
        <w:t>The managerial implications of these findings are best organised along the implementation process itself, because the evidence shows different barriers biting at different stages. They are presented here as evidence-based considerations rather than guaranteed solutions, and their relevance will vary with industry, production technology, firm size, the home-country ecosystem, and the depth of the firm's dependence on Asian suppliers.</w:t>
      </w:r>
    </w:p>
    <w:p>
      <w:r>
        <w:t>At the feasibility and preparation stage, the findings indicate the value of two assessments that the reviewed cases suggest are often incomplete. The first is a genuine total-cost analysis of the return: the evidence on cost miscalculation (Li et al., 2025) and underestimated operational adjustments (Boffelli et al., 2021) suggests that firms budget for the visible transaction — equipment, freight, facilities — while underestimating transition costs, ramp-up losses, and coordination burdens; the total-cost-of-acquisition logic discussed in the reshoring literature (Ocicka, 2016) applies as much to leaving Asia as it did to going there. The second is a capability audit conducted before commitment: managers should assess which production knowledge, skills, and supplier capabilities the firm actually controls, and which reside with the host-country supplier or subsidiary, since the China-to-Italy case shows that a capability the firm assumed it could replace determined the entire scope of what could be reshored (Pedroletti, 2025).</w:t>
      </w:r>
    </w:p>
    <w:p>
      <w:r>
        <w:t>At the exit stage, the findings indicate the value of legal and regulatory due diligence in the host country well before the decision is announced. Layoff regulations, closure restrictions, and contractual obligations shaped the speed and cost of exit among the firms studied by Li et al. (2025), and the review literature adds closure fees, fiscal obligations, and the social dimension of plant closure (Di Stefano &amp; Fratocchi, 2019). A firm considering reshoring should therefore account for exit costs and timelines as a distinct budget line, and — where the evidence on employee and stakeholder responses is taken seriously — plan the communication and treatment of the offshore workforce as part of implementation rather than as an afterthought.</w:t>
      </w:r>
    </w:p>
    <w:p>
      <w:r>
        <w:t>During transfer and rebuilding, the strongest single practical lesson of the review is that production capability is a system rather than a purchase. The China-to-UK case suggests that machinery acquisition should be planned together with complementary tooling, software, technical services, and a workforce-training programme with a realistic time horizon — in that case roughly twelve months of learning before acceptable quality was reached, a figure that should be treated as one case's experience rather than a norm, but that usefully calibrates expectations (Pegoraro et al., 2022). Because the domestic supplier base may have thinned during the offshoring years (Ocicka, 2016; Mirzaei et al., 2021), supplier mapping and early engagement with the home region's ecosystem — training institutions, equipment providers, industrial-support organisations — are indicated, since regional readiness manifested in the case evidence as search and development time added to the schedule (Pegoraro et al., 2022).</w:t>
      </w:r>
    </w:p>
    <w:p>
      <w:r>
        <w:t>For firms whose dependence on Asian suppliers proves difficult to unwind, the evidence suggests that a phased or partial approach may reduce risk relative to an all-or-nothing return — but with open eyes about its costs. Partial reshoring preserved access to irreplaceable supplier capabilities in the documented case, yet it created a lasting coordination burden between the home and host operations and shifted bargaining power towards the remaining suppliers (Pedroletti, 2025). Managers choosing this route should therefore plan for parallel production and cross-country coordination as a permanent operating condition rather than a transition phase, and should assess how the relationship with remaining suppliers will be maintained as volumes change, given the adverse supplier response observed when interaction declined.</w:t>
      </w:r>
    </w:p>
    <w:p>
      <w:r>
        <w:t>Finally, the organisational findings imply that implementation capacity itself deserves managerial attention. The connection between implementation mistakes and relocation failure (Boffelli et al., 2021), together with the evidence on internal silos and weak employee involvement in domestic manufacturing (Mirzaei et al., 2021), indicates the value of cross-functional coordination — bringing production, sourcing, product development, and finance into the reshoring programme early — and of treating the return as an organisational change project, not a logistics exercise. Where automation is part of the business case, the dual-role evidence should temper expectations: technology can offset home-country cost disadvantages, but its deployment demands digital skills, investment, and organisational adaptation of its own (Bilbao-Ubillos et al., 2024; Gupta et al., 2023; D'Ambrosio &amp; Lavoratori, 2025), so an automation-dependent reshoring plan should include an honest assessment of the firm's digital readiness and scale. Together, these considerations answer the second sub-question: the managerial route to mitigating reshoring barriers runs through early capability and dependency assessment, realistic total costing, host-country exit planning, systemic rebuilding of production capability, deliberate supplier reconfiguration, and investment in the organisation's own implementation capacity.</w:t>
      </w:r>
    </w:p>
    <w:p>
      <w:pPr>
        <w:pStyle w:val="Heading2"/>
      </w:pPr>
      <w:r>
        <w:t>5.4 Limitations and Future Research</w:t>
      </w:r>
    </w:p>
    <w:p>
      <w:r>
        <w:t>The conclusions of this thesis must be read against the limitations of its method and evidence base. As a systematic literature review, the study synthesises published research rather than observing reshoring directly, and it inherits the coverage and biases of that literature, including the likelihood that successfully completed reshoring projects are more visible in published research than abandoned or failed ones. The formal analytical sample is small — twenty-one studies, of which only a minority provide direct implementation evidence — and the genuinely Asia-specific direct evidence consists of two single-case studies, both documenting returns from China to Western Europe. In practice, this means the barriers identified here can be organised with reasonable confidence, but they cannot be weighted by frequency or generalised beyond the documented Asia-specific cases; the framework should be read as a structured map of the evidence, not a ranking of universal obstacles.</w:t>
      </w:r>
    </w:p>
    <w:p>
      <w:r>
        <w:t>Several limitations follow from the search and screening process. Literature discovery relied on Google Scholar, with the early searching conducted iteratively rather than under a prospectively documented protocol, and the review depended on English-language, accessible publications; relevant evidence in other languages or behind unavailable full texts may have been missed. Screening and coding were carried out by a single researcher, without the inter-coder reliability checks that a research team would allow. The evidence-classification dimensions used to organise the corpus record the type, relevance, and Asia-specificity of the evidence, but they do not amount to a full methodological quality appraisal of each study, and no claim in this thesis rests on verified page-level citations of the primary texts. Finally, the boundaries between the four framework categories — and between drivers, barriers, and outcomes — required judgement in several codings, since some reviewed studies do not separate the decision and implementation stages cleanly; the category assignments should therefore be treated as reasoned rather than mechanical.</w:t>
      </w:r>
    </w:p>
    <w:p>
      <w:r>
        <w:t>These limitations point directly to the research that is needed. The most valuable contribution would be longitudinal studies that follow firms through the entire reshoring process, from decision through exit, transfer, and ramp-up to stabilised domestic production, because the existing evidence captures stages in isolation and cannot show how barriers evolve or compound over time. Comparative work across different Asian host countries is needed for the same reason this review had to confine its Asia-specific claims to China: whether exit constraints, supplier dependence, and capability gaps operate similarly in returns from Vietnam, India, or other Asian manufacturing locations is simply unknown. The contrast between full and partial reshoring that emerged from the case evidence deserves systematic study, as does the behaviour of host-country suppliers when their customers reduce or withdraw volumes — the adverse-response finding rests on a single case and may vary considerably with market conditions. Research on failed or abandoned reshoring projects would correct the success bias inherent in the published record and would test the implementation-mistakes finding on the outcomes where it matters most. Studies of small and medium-sized firms are needed because the conceptual literature suggests their reshoring differs in kind — undertaken defensively and with thinner managerial resources (D'Ambrosio &amp; Lavoratori, 2025) — while most direct evidence comes from established manufacturers. Finally, the four-category framework developed here is a synthesis product and would benefit from quantitative testing across a larger sample of implementation cases, and the theoretical reading offered in Section 5.2 remains interpretive: direct empirical reshoring research that operationalises transaction-cost and resource-based constructs — asset specificity, switching costs, capability rebuilding time — would show whether the mechanisms proposed here in fact drive the barriers observed.</w:t>
      </w:r>
    </w:p>
    <w:p>
      <w:pPr>
        <w:pStyle w:val="Heading1"/>
      </w:pPr>
      <w:r>
        <w:t>6 Conclusion</w:t>
      </w:r>
    </w:p>
    <w:p>
      <w:r>
        <w:t>This thesis set out to answer a question that the reshoring literature had largely left open: not why manufacturing firms decide to bring production home from Asia, but what stands in their way once they try. This concluding chapter draws the analysis together, answers the research question and the two sub-questions directly, states the contribution of the study, and closes with an honest account of what the evidence does and does not support.</w:t>
      </w:r>
    </w:p>
    <w:p>
      <w:r>
        <w:rPr>
          <w:b/>
        </w:rPr>
        <w:t>Core research question.</w:t>
      </w:r>
      <w:r>
        <w:t xml:space="preserve"> On the evidence reviewed, the central barriers that manufacturing firms face when implementing reshoring strategies from Asian markets are, first and foremost, the reconstruction of domestic capability: the skills, machinery, tooling, and surrounding supplier ecosystem that eroded during the years of offshoring and cannot be restored by acquisition alone. Closely linked to this is dependence on specialised host-country suppliers, which in the documented case evidence constrained not only how a return was carried out but how much of it was possible at all. These capability-side difficulties are compounded by underestimated operational adjustments and organisational readiness gaps, by the new fixed and coordination costs that a return generates, and, less visibly but persistently, by host-country exit constraints such as layoff regulations and closure obligations. None of these barriers operates in isolation: a capability gap can cascade into operational and relational difficulties, and weak organisational readiness amplifies whatever other barriers a firm encounters. Implementation therefore emerges as a distinct and demanding stage in its own right, not a formality that follows automatically once the location decision has been made.</w:t>
      </w:r>
    </w:p>
    <w:p>
      <w:r>
        <w:rPr>
          <w:b/>
        </w:rPr>
        <w:t>Sub-question 1.</w:t>
      </w:r>
      <w:r>
        <w:t xml:space="preserve"> The identified barriers were categorised into a systematic firm-level framework of four categories — regulatory/institutional, cultural/organisational, cost/operational, and asset/capability — comprising eighteen barrier themes drawn from the reviewed literature. This framework, presented in full in Tables 1–4 and Appendix B, consolidates evidence that the literature had previously reported in scattered form into a single structure organised by the type of obstacle rather than by industry, country, or individual study. It also makes visible where the evidence base is strong and where it is thin. Asset/capability barriers carry the broadest and most consistent support across evidence types, while the regulatory/institutional category rests on the fewest sources. This pattern is treated as a property of the evidence base, not a settled statement about the real-world importance of regulatory obstacles.</w:t>
      </w:r>
    </w:p>
    <w:p>
      <w:r>
        <w:rPr>
          <w:b/>
        </w:rPr>
        <w:t>Sub-question 2.</w:t>
      </w:r>
      <w:r>
        <w:t xml:space="preserve"> Based on these findings, the identified barriers can be mitigated by addressing them at the stage of the return process at which they arise. Before commitment, a genuine total-cost analysis of the return and a capability audit of what the firm actually controls — as opposed to what resides with the host-country supplier — help prevent the underestimation that the evidence repeatedly documents. At the exit stage, host-country regulatory and contractual due diligence should be budgeted as a distinct line item rather than treated as incidental to the move. During transfer and rebuilding, capability should be planned as a system of machinery, tooling, software, and workforce training rather than as a single purchase. Early engagement with the home region's supplier and training ecosystem is indicated wherever that ecosystem has thinned. Where dependence on Asian suppliers cannot be unwound quickly, a phased or partial approach may reduce risk, provided managers plan for the resulting cross-country coordination as a lasting operating condition rather than a temporary one. Underlying all of these measures is a more general implication: implementation capacity — cross-functional coordination and organisational readiness — is itself a resource that firms should build deliberately, because the evidence shows it determines how damaging the other barriers become.</w:t>
      </w:r>
    </w:p>
    <w:p>
      <w:r>
        <w:rPr>
          <w:b/>
        </w:rPr>
        <w:t>Contribution of the study.</w:t>
      </w:r>
      <w:r>
        <w:t xml:space="preserve"> The principal contribution of this thesis is a consolidated, firm-level framework of the barriers to reshoring implementation from Asian markets, built from evidence that the existing literature had addressed only in fragments, and interpreted through the complementary lenses of Transaction Cost Economics and the Resource-Based View. Read together, these two perspectives explain why a firm that has already decided to reshore can still struggle to do so. The decision compares locations, but carrying it out requires dismantling transaction-specific governance arrangements on the host side while simultaneously rebuilding scarce, slow-to-acquire resources on the home side, and neither task is captured by the location comparison itself. By shifting analytical attention from why firms reshore to how they carry it out, and by organising that attention around a firm-level framework rather than a list of disconnected findings, the thesis responds directly to the research gap identified in Chapter 1.</w:t>
      </w:r>
    </w:p>
    <w:p>
      <w:r>
        <w:rPr>
          <w:b/>
        </w:rPr>
        <w:t>Scope and closing remarks.</w:t>
      </w:r>
      <w:r>
        <w:t xml:space="preserve"> This contribution should be read within the limits the thesis has been careful to state throughout. The formal analytical sample comprises twenty-one studies, and the genuinely Asia-specific direct implementation evidence rests on two single-case studies, both documenting returns from China to Western Europe. The framework is therefore best understood as a structured map of what the current literature shows, organised with reasonable confidence, rather than as a ranking of universal obstacles or a claim that generalises beyond China to Asian markets as a whole. Within that scope, the findings indicate clearly that the difficulty of reshoring lies less in deciding to return than in rebuilding, at home, the productive capability that years of offshoring allowed to erode — a conclusion that reframes reshoring not as offshoring in reverse, but as a distinct undertaking with its own logic, its own costs, and its own risk of partial or incomplete success.</w:t>
      </w:r>
    </w:p>
    <w:p>
      <w:pPr>
        <w:pStyle w:val="Heading1"/>
      </w:pPr>
      <w:r>
        <w:t>References</w:t>
      </w:r>
    </w:p>
    <w:p>
      <w:r>
        <w:t xml:space="preserve">Barbieri, P., Boffelli, A., Elia, S., Fratocchi, L., Kalchschmidt, M., &amp; Samson, D. (2020). What can we learn about reshoring after Covid-19? </w:t>
      </w:r>
      <w:r>
        <w:rPr>
          <w:i/>
        </w:rPr>
        <w:t>Operations Management Research, 13</w:t>
      </w:r>
      <w:r>
        <w:t>(3–4), 131–136. https://doi.org/10.1007/s12063-020-00160-1</w:t>
      </w:r>
    </w:p>
    <w:p>
      <w:r>
        <w:t xml:space="preserve">Barney, J. (1991). Firm resources and sustained competitive advantage. </w:t>
      </w:r>
      <w:r>
        <w:rPr>
          <w:i/>
        </w:rPr>
        <w:t>Journal of Management, 17</w:t>
      </w:r>
      <w:r>
        <w:t>(1), 99–120. https://doi.org/10.1177/014920639101700108</w:t>
      </w:r>
    </w:p>
    <w:p>
      <w:r>
        <w:t xml:space="preserve">Bilbao-Ubillos, J., Camino-Beldarrain, V., Intxaurburu-Clemente, G., &amp; Velasco-Balmaseda, E. (2024). Industry 4.0, servitization, and reshoring: A systematic literature review. </w:t>
      </w:r>
      <w:r>
        <w:rPr>
          <w:i/>
        </w:rPr>
        <w:t>European Research on Management and Business Economics, 30</w:t>
      </w:r>
      <w:r>
        <w:t>(1), Article 100234. https://doi.org/10.1016/j.iedeen.2023.100234</w:t>
      </w:r>
    </w:p>
    <w:p>
      <w:r>
        <w:t xml:space="preserve">Boffelli, A., Fratocchi, L., Kalchschmidt, M., &amp; Lima da Costa e Silva, S. C. (2021). Doing the right thing or doing things right: What is better for a successful manufacturing reshoring? </w:t>
      </w:r>
      <w:r>
        <w:rPr>
          <w:i/>
        </w:rPr>
        <w:t>Operations Management Research, 14</w:t>
      </w:r>
      <w:r>
        <w:t>(1–2), 1–16. https://doi.org/10.1007/s12063-021-00183-2</w:t>
      </w:r>
    </w:p>
    <w:p>
      <w:r>
        <w:t xml:space="preserve">Bolter, K., &amp; Robey, J. (2020). </w:t>
      </w:r>
      <w:r>
        <w:rPr>
          <w:i/>
        </w:rPr>
        <w:t>Strategic reshoring: A literature review</w:t>
      </w:r>
      <w:r>
        <w:t>. W.E. Upjohn Institute for Employment Research. https://research.upjohn.org/reports/253</w:t>
      </w:r>
    </w:p>
    <w:p>
      <w:r>
        <w:t xml:space="preserve">D'Ambrosio, A., &amp; Lavoratori, K. (2025). Reshoring to survive? The other side of de-globalization. </w:t>
      </w:r>
      <w:r>
        <w:rPr>
          <w:i/>
        </w:rPr>
        <w:t>Journal of Industrial and Business Economics, 52</w:t>
      </w:r>
      <w:r>
        <w:t>(4), 867–889. https://doi.org/10.1007/s40812-025-00342-7</w:t>
      </w:r>
    </w:p>
    <w:p>
      <w:r>
        <w:t xml:space="preserve">Di Mauro, C., Fratocchi, L., Orzes, G., &amp; Sartor, M. (2018). Offshoring and backshoring: A multiple case study analysis. </w:t>
      </w:r>
      <w:r>
        <w:rPr>
          <w:i/>
        </w:rPr>
        <w:t>Journal of Purchasing and Supply Management, 24</w:t>
      </w:r>
      <w:r>
        <w:t>(2), 108–134. https://doi.org/10.1016/j.pursup.2017.07.003</w:t>
      </w:r>
    </w:p>
    <w:p>
      <w:r>
        <w:t xml:space="preserve">Di Stefano, C., &amp; Fratocchi, L. (2019). Manufacturing back-shoring and sustainability: A literature review. </w:t>
      </w:r>
      <w:r>
        <w:rPr>
          <w:i/>
        </w:rPr>
        <w:t>Sinergie Italian Journal of Management, 37</w:t>
      </w:r>
      <w:r>
        <w:t>(2), 119–143. https://doi.org/10.7433/s109.2019.07</w:t>
      </w:r>
    </w:p>
    <w:p>
      <w:r>
        <w:t xml:space="preserve">Espíndola, D. M., Pimenta, M. L., Silva, C. H. P. da, &amp; Bortolaso, I. V. (2023). Systematic literature review in reshoring strategies 4.0. </w:t>
      </w:r>
      <w:r>
        <w:rPr>
          <w:i/>
        </w:rPr>
        <w:t>Logistics, 7</w:t>
      </w:r>
      <w:r>
        <w:t>(3), Article 42. https://doi.org/10.3390/logistics7030042</w:t>
      </w:r>
    </w:p>
    <w:p>
      <w:r>
        <w:t xml:space="preserve">Gao, X., Hewings, G. J. D., &amp; Yang, C. (2022). Offshore, re-shore, re-offshore: What happened to global manufacturing location between 2007 and 2014? </w:t>
      </w:r>
      <w:r>
        <w:rPr>
          <w:i/>
        </w:rPr>
        <w:t>Cambridge Journal of Regions, Economy and Society, 15</w:t>
      </w:r>
      <w:r>
        <w:t>(2), 183–206. https://doi.org/10.1093/cjres/rsac004</w:t>
      </w:r>
    </w:p>
    <w:p>
      <w:r>
        <w:t xml:space="preserve">Gupta, S., Wang, Y., &amp; Czinkota, M. (2023). Reshoring: A road to Industry 4.0 transformation. </w:t>
      </w:r>
      <w:r>
        <w:rPr>
          <w:i/>
        </w:rPr>
        <w:t>British Journal of Management, 34</w:t>
      </w:r>
      <w:r>
        <w:t>(3), 1081–1099. https://doi.org/10.1111/1467-8551.12731</w:t>
      </w:r>
    </w:p>
    <w:p>
      <w:r>
        <w:t xml:space="preserve">Heikkilä, J., Martinsuo, M., &amp; Nenonen, S. (2018). Backshoring of production in the context of a small and open Nordic economy. </w:t>
      </w:r>
      <w:r>
        <w:rPr>
          <w:i/>
        </w:rPr>
        <w:t>Journal of Manufacturing Technology Management, 29</w:t>
      </w:r>
      <w:r>
        <w:t>(4), 658–675. https://doi.org/10.1108/JMTM-12-2016-0178</w:t>
      </w:r>
    </w:p>
    <w:p>
      <w:r>
        <w:t xml:space="preserve">Kamp, B., &amp; Gibaja, J. J. (2021). Adoption of digital technologies and backshoring decisions: Is there a link? </w:t>
      </w:r>
      <w:r>
        <w:rPr>
          <w:i/>
        </w:rPr>
        <w:t>Operations Management Research, 14</w:t>
      </w:r>
      <w:r>
        <w:t>(3–4), 380–402. https://doi.org/10.1007/s12063-021-00202-2</w:t>
      </w:r>
    </w:p>
    <w:p>
      <w:r>
        <w:t xml:space="preserve">Li, H., Hilletofth, P., Eriksson, D., &amp; Hilmola, O.-P. (2025). Exploring drivers, barriers and enablers for manufacturing reshoring in the Nordic countries. </w:t>
      </w:r>
      <w:r>
        <w:rPr>
          <w:i/>
        </w:rPr>
        <w:t>Review of International Business and Strategy, 35</w:t>
      </w:r>
      <w:r>
        <w:t>(5), 583–612. https://doi.org/10.1108/RIBS-11-2024-0132</w:t>
      </w:r>
    </w:p>
    <w:p>
      <w:r>
        <w:t xml:space="preserve">Mayring, P. (2014). </w:t>
      </w:r>
      <w:r>
        <w:rPr>
          <w:i/>
        </w:rPr>
        <w:t>Qualitative content analysis: Theoretical foundation, basic procedures and software solution</w:t>
      </w:r>
      <w:r>
        <w:t>. https://nbn-resolving.org/urn:nbn:de:0168-ssoar-395173</w:t>
      </w:r>
    </w:p>
    <w:p>
      <w:r>
        <w:t xml:space="preserve">McCully, T., &amp; Simola, H. (2024). </w:t>
      </w:r>
      <w:r>
        <w:rPr>
          <w:i/>
        </w:rPr>
        <w:t>Are supply chain vulnerabilities increasing in the era of geoeconomic fragmentation?</w:t>
      </w:r>
      <w:r>
        <w:t xml:space="preserve"> (BOFIT Policy Brief No. 10/2024). Bank of Finland Institute for Emerging Economies. https://www.econstor.eu/handle/10419/307141</w:t>
      </w:r>
    </w:p>
    <w:p>
      <w:r>
        <w:t xml:space="preserve">Mirzaei, N. E., Hilletofth, P., &amp; Pal, R. (2021). Challenges to competitive manufacturing in high-cost environments: Checklist and insights from Swedish manufacturing firms. </w:t>
      </w:r>
      <w:r>
        <w:rPr>
          <w:i/>
        </w:rPr>
        <w:t>Operations Management Research, 14</w:t>
      </w:r>
      <w:r>
        <w:t>(3–4), 272–292. https://doi.org/10.1007/s12063-021-00193-0</w:t>
      </w:r>
    </w:p>
    <w:p>
      <w:r>
        <w:t xml:space="preserve">Ocicka, B. (2016). Reshoring: Implementation issues and research opportunities. </w:t>
      </w:r>
      <w:r>
        <w:rPr>
          <w:i/>
        </w:rPr>
        <w:t>Management, 20</w:t>
      </w:r>
      <w:r>
        <w:t>(2), 103–117. https://doi.org/10.1515/manment-2015-0053</w:t>
      </w:r>
    </w:p>
    <w:p>
      <w: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w:t>
      </w:r>
      <w:r>
        <w:rPr>
          <w:i/>
        </w:rPr>
        <w:t>BMJ, 372</w:t>
      </w:r>
      <w:r>
        <w:t>, Article n71. https://doi.org/10.1136/bmj.n71</w:t>
      </w:r>
    </w:p>
    <w:p>
      <w:r>
        <w:t xml:space="preserve">Page, M. J., Moher, D., Bossuyt, P. M., Boutron, I., Hoffmann, T. C., Mulrow, C. D., Shamseer, L., Tetzlaff, J. M., Akl, E. A., Brennan, S. E., Chou, R., Glanville, J., Grimshaw, J. M., Hróbjartsson, A., Lalu, M. M., Li, T., Loder, E. W., Mayo-Wilson, E., McDonald, S., … McKenzie, J. E. (2021). PRISMA 2020 explanation and elaboration: Updated guidance and exemplars for reporting systematic reviews. </w:t>
      </w:r>
      <w:r>
        <w:rPr>
          <w:i/>
        </w:rPr>
        <w:t>BMJ, 372</w:t>
      </w:r>
      <w:r>
        <w:t>, Article n160. https://doi.org/10.1136/bmj.n160</w:t>
      </w:r>
    </w:p>
    <w:p>
      <w:r>
        <w:t xml:space="preserve">Pedroletti, D. (2025). Network effects of partial reshoring in the internationalization process. </w:t>
      </w:r>
      <w:r>
        <w:rPr>
          <w:i/>
        </w:rPr>
        <w:t>International Business Review, 34</w:t>
      </w:r>
      <w:r>
        <w:t>(3), Article 102401. https://doi.org/10.1016/j.ibusrev.2025.102401</w:t>
      </w:r>
    </w:p>
    <w:p>
      <w:r>
        <w:t xml:space="preserve">Pedroletti, D., &amp; Ciabuschi, F. (2023). Reshoring: A review and research agenda. </w:t>
      </w:r>
      <w:r>
        <w:rPr>
          <w:i/>
        </w:rPr>
        <w:t>Journal of Business Research, 164</w:t>
      </w:r>
      <w:r>
        <w:t>, Article 114005. https://doi.org/10.1016/j.jbusres.2023.114005</w:t>
      </w:r>
    </w:p>
    <w:p>
      <w:r>
        <w:t xml:space="preserve">Pegoraro, D., De Propris, L., &amp; Chidlow, A. (2022). Regional factors enabling manufacturing reshoring strategies: A case study perspective. </w:t>
      </w:r>
      <w:r>
        <w:rPr>
          <w:i/>
        </w:rPr>
        <w:t>Journal of International Business Policy, 5</w:t>
      </w:r>
      <w:r>
        <w:t>(1), 112–133. https://doi.org/10.1057/s42214-021-00112-x</w:t>
      </w:r>
    </w:p>
    <w:p>
      <w:r>
        <w:t xml:space="preserve">Pourhejazy, P., &amp; Ashby, A. (2021). Reshoring decisions for adjusting supply chains in a changing world: A case study from the apparel industry. </w:t>
      </w:r>
      <w:r>
        <w:rPr>
          <w:i/>
        </w:rPr>
        <w:t>International Journal of Environmental Research and Public Health, 18</w:t>
      </w:r>
      <w:r>
        <w:t>(9), Article 4873. https://doi.org/10.3390/ijerph18094873</w:t>
      </w:r>
    </w:p>
    <w:p>
      <w:r>
        <w:t xml:space="preserve">Robinson, P. K., &amp; Hsieh, L. (2016). Reshoring: A strategic renewal of luxury clothing supply chains. </w:t>
      </w:r>
      <w:r>
        <w:rPr>
          <w:i/>
        </w:rPr>
        <w:t>Operations Management Research, 9</w:t>
      </w:r>
      <w:r>
        <w:t>(3–4), 89–101. https://doi.org/10.1007/s12063-016-0116-x</w:t>
      </w:r>
    </w:p>
    <w:p>
      <w:r>
        <w:t xml:space="preserve">Snyder, H. (2019). Literature review as a research methodology: An overview and guidelines. </w:t>
      </w:r>
      <w:r>
        <w:rPr>
          <w:i/>
        </w:rPr>
        <w:t>Journal of Business Research, 104</w:t>
      </w:r>
      <w:r>
        <w:t>, 333–339. https://doi.org/10.1016/j.jbusres.2019.07.039</w:t>
      </w:r>
    </w:p>
    <w:p>
      <w:r>
        <w:t xml:space="preserve">Somoza Medina, X. (2022). From deindustrialization to a reinforced process of reshoring in Europe: Another effect of the COVID-19 pandemic? </w:t>
      </w:r>
      <w:r>
        <w:rPr>
          <w:i/>
        </w:rPr>
        <w:t>Land, 11</w:t>
      </w:r>
      <w:r>
        <w:t>(12), Article 2109. https://doi.org/10.3390/land11122109</w:t>
      </w:r>
    </w:p>
    <w:p>
      <w:r>
        <w:t xml:space="preserve">Stentoft, J., Mikkelsen, O. S., &amp; Wickstrøm, K. A. (2025). Reshoring manufacturing: The influence of Industry 4.0, COVID-19, and made-in effects. </w:t>
      </w:r>
      <w:r>
        <w:rPr>
          <w:i/>
        </w:rPr>
        <w:t>Operations Management Research, 18</w:t>
      </w:r>
      <w:r>
        <w:t>(1), 353–372. https://doi.org/10.1007/s12063-024-00504-1</w:t>
      </w:r>
    </w:p>
    <w:p>
      <w:r>
        <w:t xml:space="preserve">Thomas, J., &amp; Harden, A. (2008). Methods for the thematic synthesis of qualitative research in systematic reviews. </w:t>
      </w:r>
      <w:r>
        <w:rPr>
          <w:i/>
        </w:rPr>
        <w:t>BMC Medical Research Methodology, 8</w:t>
      </w:r>
      <w:r>
        <w:t>, Article 45. https://doi.org/10.1186/1471-2288-8-45</w:t>
      </w:r>
    </w:p>
    <w:p>
      <w:r>
        <w:t xml:space="preserve">Tsai, T.-Y., &amp; Urmetzer, F. (2024). A decisional framework for manufacturing relocation: Consolidating and expanding the reshoring debate. </w:t>
      </w:r>
      <w:r>
        <w:rPr>
          <w:i/>
        </w:rPr>
        <w:t>International Journal of Management Reviews, 26</w:t>
      </w:r>
      <w:r>
        <w:t>(2), 254–284. https://doi.org/10.1111/ijmr.12352</w:t>
      </w:r>
    </w:p>
    <w:p>
      <w:r>
        <w:t xml:space="preserve">Wan, L., Orzes, G., Sartor, M., &amp; Nassimbeni, G. (2019). Reshoring: Does home country matter? </w:t>
      </w:r>
      <w:r>
        <w:rPr>
          <w:i/>
        </w:rPr>
        <w:t>Journal of Purchasing and Supply Management, 25</w:t>
      </w:r>
      <w:r>
        <w:t>(4), Article 100551. https://doi.org/10.1016/j.pursup.2019.100551</w:t>
      </w:r>
    </w:p>
    <w:p>
      <w:r>
        <w:t xml:space="preserve">Wiesmann, B., Snoei, J. R., Hilletofth, P., &amp; Eriksson, D. (2017). Drivers and barriers to reshoring: A literature review on offshoring in reverse. </w:t>
      </w:r>
      <w:r>
        <w:rPr>
          <w:i/>
        </w:rPr>
        <w:t>European Business Review, 29</w:t>
      </w:r>
      <w:r>
        <w:t>(1), 15–42. https://doi.org/10.1108/EBR-03-2016-0050</w:t>
      </w:r>
    </w:p>
    <w:p>
      <w:r>
        <w:t xml:space="preserve">Williamson, O. E. (1985). </w:t>
      </w:r>
      <w:r>
        <w:rPr>
          <w:i/>
        </w:rPr>
        <w:t>The economic institutions of capitalism: Firms, markets, relational contracting</w:t>
      </w:r>
      <w:r>
        <w:t>. Free Press.</w:t>
      </w:r>
    </w:p>
    <w:p>
      <w:r>
        <w:t xml:space="preserve">Xing, L., Jiang, S., Yin, S., &amp; Liu, F. (2024). Substitution effect of Asian economies on China's industrial and supply chains: From the perspective of global production network. </w:t>
      </w:r>
      <w:r>
        <w:rPr>
          <w:i/>
        </w:rPr>
        <w:t>Humanities and Social Sciences Communications, 11</w:t>
      </w:r>
      <w:r>
        <w:t>, Article 1304. https://doi.org/10.1057/s41599-024-03797-6</w:t>
      </w:r>
    </w:p>
    <w:p>
      <w:r>
        <w:t xml:space="preserve">Yang, C. (2016). Relocating labour-intensive manufacturing firms from China to Southeast Asia: A preliminary investigation. </w:t>
      </w:r>
      <w:r>
        <w:rPr>
          <w:i/>
        </w:rPr>
        <w:t>Bandung: Journal of the Global South, 3</w:t>
      </w:r>
      <w:r>
        <w:t>, Article 3. https://doi.org/10.1186/s40728-016-0031-4</w:t>
      </w:r>
    </w:p>
    <w:p>
      <w:pPr>
        <w:pStyle w:val="Heading1"/>
      </w:pPr>
      <w:r>
        <w:t>Appendix A — PRISMA 2020 Flow Diagram</w:t>
      </w:r>
    </w:p>
    <w:p>
      <w:r>
        <w:t>Constructed per PRISMA 2020's two-arm flow structure (Page, McKenzie, et al., 2021; Page, Moher, et al., 2021), as described in Chapter 3, §3.2. Arm 1 reports the documented update search (15 July 2026); Arm 2 reports the reconstructable full-text stage of the original exploratory search. The diagram documents the 21-study formal analytical sample only; methodology sources (n = 5) and contextual sources (n = 8) are retained for the thesis but are not "included studies" in the PRISMA sense and are reported separately beneath the diagram. No count or date from the original exploratory phase is estimated.</w:t>
      </w:r>
    </w:p>
    <w:p>
      <w:r>
        <w:t>---</w:t>
      </w:r>
    </w:p>
    <w:p>
      <w:pPr>
        <w:pStyle w:val="Heading2"/>
      </w:pPr>
      <w:r>
        <w:t>Arm 1 — Identification via databases (documented update search)</w:t>
      </w:r>
    </w:p>
    <w:p>
      <w:pPr>
        <w:spacing w:line="240" w:lineRule="auto" w:after="0"/>
      </w:pPr>
      <w:r>
        <w:rPr>
          <w:rFonts w:ascii="Courier New" w:hAnsi="Courier New"/>
          <w:sz w:val="18"/>
        </w:rPr>
        <w:t>Records identified through database searching</w:t>
      </w:r>
    </w:p>
    <w:p>
      <w:pPr>
        <w:spacing w:line="240" w:lineRule="auto" w:after="0"/>
      </w:pPr>
      <w:r>
        <w:rPr>
          <w:rFonts w:ascii="Courier New" w:hAnsi="Courier New"/>
          <w:sz w:val="18"/>
        </w:rPr>
        <w:t>(Google Scholar, 3 predefined strings, 15 July 2026)</w:t>
      </w:r>
    </w:p>
    <w:p>
      <w:pPr>
        <w:spacing w:line="240" w:lineRule="auto" w:after="0"/>
      </w:pPr>
      <w:r>
        <w:rPr>
          <w:rFonts w:ascii="Courier New" w:hAnsi="Courier New"/>
          <w:sz w:val="18"/>
        </w:rPr>
        <w:t xml:space="preserve">                    n = 102</w:t>
      </w:r>
    </w:p>
    <w:p>
      <w:pPr>
        <w:spacing w:line="240" w:lineRule="auto" w:after="0"/>
      </w:pPr>
      <w:r>
        <w:rPr>
          <w:rFonts w:ascii="Courier New" w:hAnsi="Courier New"/>
          <w:sz w:val="18"/>
        </w:rPr>
        <w:t xml:space="preserve">        (36 + 40 + 26 screened across the three strings;</w:t>
      </w:r>
    </w:p>
    <w:p>
      <w:pPr>
        <w:spacing w:line="240" w:lineRule="auto" w:after="0"/>
      </w:pPr>
      <w:r>
        <w:rPr>
          <w:rFonts w:ascii="Courier New" w:hAnsi="Courier New"/>
          <w:sz w:val="18"/>
        </w:rPr>
        <w:t xml:space="preserve">   displayed result counts of 10,400 / 14,300 / 1,660</w:t>
      </w:r>
    </w:p>
    <w:p>
      <w:pPr>
        <w:spacing w:line="240" w:lineRule="auto" w:after="0"/>
      </w:pPr>
      <w:r>
        <w:rPr>
          <w:rFonts w:ascii="Courier New" w:hAnsi="Courier New"/>
          <w:sz w:val="18"/>
        </w:rPr>
        <w:t xml:space="preserve">     reflect database breadth, not records screened)</w:t>
      </w:r>
    </w:p>
    <w:p>
      <w:pPr>
        <w:spacing w:line="240" w:lineRule="auto" w:after="0"/>
      </w:pPr>
      <w:r>
        <w:rPr>
          <w:rFonts w:ascii="Courier New" w:hAnsi="Courier New"/>
          <w:sz w:val="18"/>
        </w:rPr>
        <w:t xml:space="preserve">                       │</w:t>
      </w:r>
    </w:p>
    <w:p>
      <w:pPr>
        <w:spacing w:line="240" w:lineRule="auto" w:after="0"/>
      </w:pPr>
      <w:r>
        <w:rPr>
          <w:rFonts w:ascii="Courier New" w:hAnsi="Courier New"/>
          <w:sz w:val="18"/>
        </w:rPr>
        <w:t xml:space="preserve">                       ▼</w:t>
      </w:r>
    </w:p>
    <w:p>
      <w:pPr>
        <w:spacing w:line="240" w:lineRule="auto" w:after="0"/>
      </w:pPr>
      <w:r>
        <w:rPr>
          <w:rFonts w:ascii="Courier New" w:hAnsi="Courier New"/>
          <w:sz w:val="18"/>
        </w:rPr>
        <w:t xml:space="preserve">        Duplicate records removed</w:t>
      </w:r>
    </w:p>
    <w:p>
      <w:pPr>
        <w:spacing w:line="240" w:lineRule="auto" w:after="0"/>
      </w:pPr>
      <w:r>
        <w:rPr>
          <w:rFonts w:ascii="Courier New" w:hAnsi="Courier New"/>
          <w:sz w:val="18"/>
        </w:rPr>
        <w:t xml:space="preserve">   (already present in the review corpus)</w:t>
      </w:r>
    </w:p>
    <w:p>
      <w:pPr>
        <w:spacing w:line="240" w:lineRule="auto" w:after="0"/>
      </w:pPr>
      <w:r>
        <w:rPr>
          <w:rFonts w:ascii="Courier New" w:hAnsi="Courier New"/>
          <w:sz w:val="18"/>
        </w:rPr>
        <w:t xml:space="preserve">                    n = 11</w:t>
      </w:r>
    </w:p>
    <w:p>
      <w:pPr>
        <w:spacing w:line="240" w:lineRule="auto" w:after="0"/>
      </w:pPr>
      <w:r>
        <w:rPr>
          <w:rFonts w:ascii="Courier New" w:hAnsi="Courier New"/>
          <w:sz w:val="18"/>
        </w:rPr>
        <w:t xml:space="preserve">                       │</w:t>
      </w:r>
    </w:p>
    <w:p>
      <w:pPr>
        <w:spacing w:line="240" w:lineRule="auto" w:after="0"/>
      </w:pPr>
      <w:r>
        <w:rPr>
          <w:rFonts w:ascii="Courier New" w:hAnsi="Courier New"/>
          <w:sz w:val="18"/>
        </w:rPr>
        <w:t xml:space="preserve">                       ▼</w:t>
      </w:r>
    </w:p>
    <w:p>
      <w:pPr>
        <w:spacing w:line="240" w:lineRule="auto" w:after="0"/>
      </w:pPr>
      <w:r>
        <w:rPr>
          <w:rFonts w:ascii="Courier New" w:hAnsi="Courier New"/>
          <w:sz w:val="18"/>
        </w:rPr>
        <w:t xml:space="preserve">              Records screened</w:t>
      </w:r>
    </w:p>
    <w:p>
      <w:pPr>
        <w:spacing w:line="240" w:lineRule="auto" w:after="0"/>
      </w:pPr>
      <w:r>
        <w:rPr>
          <w:rFonts w:ascii="Courier New" w:hAnsi="Courier New"/>
          <w:sz w:val="18"/>
        </w:rPr>
        <w:t xml:space="preserve">                    n = 91</w:t>
      </w:r>
    </w:p>
    <w:p>
      <w:pPr>
        <w:spacing w:line="240" w:lineRule="auto" w:after="0"/>
      </w:pPr>
      <w:r>
        <w:rPr>
          <w:rFonts w:ascii="Courier New" w:hAnsi="Courier New"/>
          <w:sz w:val="18"/>
        </w:rPr>
        <w:t xml:space="preserve">                       │</w:t>
      </w:r>
    </w:p>
    <w:p>
      <w:pPr>
        <w:spacing w:line="240" w:lineRule="auto" w:after="0"/>
      </w:pPr>
      <w:r>
        <w:rPr>
          <w:rFonts w:ascii="Courier New" w:hAnsi="Courier New"/>
          <w:sz w:val="18"/>
        </w:rPr>
        <w:t xml:space="preserve">                       ▼</w:t>
      </w:r>
    </w:p>
    <w:p>
      <w:pPr>
        <w:spacing w:line="240" w:lineRule="auto" w:after="0"/>
      </w:pPr>
      <w:r>
        <w:rPr>
          <w:rFonts w:ascii="Courier New" w:hAnsi="Courier New"/>
          <w:sz w:val="18"/>
        </w:rPr>
        <w:t xml:space="preserve">         Records excluded, with reason</w:t>
      </w:r>
    </w:p>
    <w:p>
      <w:pPr>
        <w:spacing w:line="240" w:lineRule="auto" w:after="0"/>
      </w:pPr>
      <w:r>
        <w:rPr>
          <w:rFonts w:ascii="Courier New" w:hAnsi="Courier New"/>
          <w:sz w:val="18"/>
        </w:rPr>
        <w:t xml:space="preserve">                    n = 8</w:t>
      </w:r>
    </w:p>
    <w:p>
      <w:pPr>
        <w:spacing w:line="240" w:lineRule="auto" w:after="0"/>
      </w:pPr>
      <w:r>
        <w:rPr>
          <w:rFonts w:ascii="Courier New" w:hAnsi="Courier New"/>
          <w:sz w:val="18"/>
        </w:rPr>
        <w:t xml:space="preserve">   Nearshoring, not genuine reshoring: 1</w:t>
      </w:r>
    </w:p>
    <w:p>
      <w:pPr>
        <w:spacing w:line="240" w:lineRule="auto" w:after="0"/>
      </w:pPr>
      <w:r>
        <w:rPr>
          <w:rFonts w:ascii="Courier New" w:hAnsi="Courier New"/>
          <w:sz w:val="18"/>
        </w:rPr>
        <w:t xml:space="preserve">   Non-peer-reviewed / inaccessible / low-credibility venue: 2</w:t>
      </w:r>
    </w:p>
    <w:p>
      <w:pPr>
        <w:spacing w:line="240" w:lineRule="auto" w:after="0"/>
      </w:pPr>
      <w:r>
        <w:rPr>
          <w:rFonts w:ascii="Courier New" w:hAnsi="Courier New"/>
          <w:sz w:val="18"/>
        </w:rPr>
        <w:t xml:space="preserve">   Macro/policy-level, not firm-level: 5</w:t>
      </w:r>
    </w:p>
    <w:p>
      <w:pPr>
        <w:spacing w:line="240" w:lineRule="auto" w:after="0"/>
      </w:pPr>
      <w:r>
        <w:rPr>
          <w:rFonts w:ascii="Courier New" w:hAnsi="Courier New"/>
          <w:sz w:val="18"/>
        </w:rPr>
        <w:t xml:space="preserve">                       │</w:t>
      </w:r>
    </w:p>
    <w:p>
      <w:pPr>
        <w:spacing w:line="240" w:lineRule="auto" w:after="0"/>
      </w:pPr>
      <w:r>
        <w:rPr>
          <w:rFonts w:ascii="Courier New" w:hAnsi="Courier New"/>
          <w:sz w:val="18"/>
        </w:rPr>
        <w:t xml:space="preserve">                       ▼</w:t>
      </w:r>
    </w:p>
    <w:p>
      <w:pPr>
        <w:spacing w:line="240" w:lineRule="auto" w:after="0"/>
      </w:pPr>
      <w:r>
        <w:rPr>
          <w:rFonts w:ascii="Courier New" w:hAnsi="Courier New"/>
          <w:sz w:val="18"/>
        </w:rPr>
        <w:t xml:space="preserve">   Records not further assessed within thesis scope</w:t>
      </w:r>
    </w:p>
    <w:p>
      <w:pPr>
        <w:spacing w:line="240" w:lineRule="auto" w:after="0"/>
      </w:pPr>
      <w:r>
        <w:rPr>
          <w:rFonts w:ascii="Courier New" w:hAnsi="Courier New"/>
          <w:sz w:val="18"/>
        </w:rPr>
        <w:t xml:space="preserve">    (topically adjacent records noted but not pursued</w:t>
      </w:r>
    </w:p>
    <w:p>
      <w:pPr>
        <w:spacing w:line="240" w:lineRule="auto" w:after="0"/>
      </w:pPr>
      <w:r>
        <w:rPr>
          <w:rFonts w:ascii="Courier New" w:hAnsi="Courier New"/>
          <w:sz w:val="18"/>
        </w:rPr>
        <w:t xml:space="preserve">             to full-text assessment)</w:t>
      </w:r>
    </w:p>
    <w:p>
      <w:pPr>
        <w:spacing w:line="240" w:lineRule="auto" w:after="0"/>
      </w:pPr>
      <w:r>
        <w:rPr>
          <w:rFonts w:ascii="Courier New" w:hAnsi="Courier New"/>
          <w:sz w:val="18"/>
        </w:rPr>
        <w:t xml:space="preserve">                    n = 83</w:t>
      </w:r>
    </w:p>
    <w:p>
      <w:pPr>
        <w:spacing w:line="240" w:lineRule="auto" w:after="0"/>
      </w:pPr>
      <w:r>
        <w:rPr>
          <w:rFonts w:ascii="Courier New" w:hAnsi="Courier New"/>
          <w:sz w:val="18"/>
        </w:rPr>
        <w:t xml:space="preserve">                       │</w:t>
      </w:r>
    </w:p>
    <w:p>
      <w:pPr>
        <w:spacing w:line="240" w:lineRule="auto" w:after="0"/>
      </w:pPr>
      <w:r>
        <w:rPr>
          <w:rFonts w:ascii="Courier New" w:hAnsi="Courier New"/>
          <w:sz w:val="18"/>
        </w:rPr>
        <w:t xml:space="preserve">                       ▼</w:t>
      </w:r>
    </w:p>
    <w:p>
      <w:pPr>
        <w:spacing w:line="240" w:lineRule="auto" w:after="0"/>
      </w:pPr>
      <w:r>
        <w:rPr>
          <w:rFonts w:ascii="Courier New" w:hAnsi="Courier New"/>
          <w:sz w:val="18"/>
        </w:rPr>
        <w:t xml:space="preserve">        New studies included from Arm 1</w:t>
      </w:r>
    </w:p>
    <w:p>
      <w:pPr>
        <w:spacing w:line="240" w:lineRule="auto" w:after="0"/>
      </w:pPr>
      <w:r>
        <w:rPr>
          <w:rFonts w:ascii="Courier New" w:hAnsi="Courier New"/>
          <w:sz w:val="18"/>
        </w:rPr>
        <w:t xml:space="preserve">                    n = 0</w:t>
      </w:r>
    </w:p>
    <w:p>
      <w:pPr>
        <w:pStyle w:val="Heading2"/>
      </w:pPr>
      <w:r>
        <w:t>Arm 2 — Identification via other methods (original exploratory search, backward/forward citation searching, related-article suggestions)</w:t>
      </w:r>
    </w:p>
    <w:p>
      <w:pPr>
        <w:spacing w:line="240" w:lineRule="auto" w:after="0"/>
      </w:pPr>
      <w:r>
        <w:rPr>
          <w:rFonts w:ascii="Courier New" w:hAnsi="Courier New"/>
          <w:sz w:val="18"/>
        </w:rPr>
        <w:t>Records identified via other methods</w:t>
      </w:r>
    </w:p>
    <w:p>
      <w:pPr>
        <w:spacing w:line="240" w:lineRule="auto" w:after="0"/>
      </w:pPr>
      <w:r>
        <w:rPr>
          <w:rFonts w:ascii="Courier New" w:hAnsi="Courier New"/>
          <w:sz w:val="18"/>
        </w:rPr>
        <w:t xml:space="preserve">        n = not recorded (exploratory phase) †</w:t>
      </w:r>
    </w:p>
    <w:p>
      <w:pPr>
        <w:spacing w:line="240" w:lineRule="auto" w:after="0"/>
      </w:pPr>
      <w:r>
        <w:rPr>
          <w:rFonts w:ascii="Courier New" w:hAnsi="Courier New"/>
          <w:sz w:val="18"/>
        </w:rPr>
        <w:t xml:space="preserve">                       │</w:t>
      </w:r>
    </w:p>
    <w:p>
      <w:pPr>
        <w:spacing w:line="240" w:lineRule="auto" w:after="0"/>
      </w:pPr>
      <w:r>
        <w:rPr>
          <w:rFonts w:ascii="Courier New" w:hAnsi="Courier New"/>
          <w:sz w:val="18"/>
        </w:rPr>
        <w:t xml:space="preserve">                       ▼</w:t>
      </w:r>
    </w:p>
    <w:p>
      <w:pPr>
        <w:spacing w:line="240" w:lineRule="auto" w:after="0"/>
      </w:pPr>
      <w:r>
        <w:rPr>
          <w:rFonts w:ascii="Courier New" w:hAnsi="Courier New"/>
          <w:sz w:val="18"/>
        </w:rPr>
        <w:t xml:space="preserve">        Reports sought and assessed at full text</w:t>
      </w:r>
    </w:p>
    <w:p>
      <w:pPr>
        <w:spacing w:line="240" w:lineRule="auto" w:after="0"/>
      </w:pPr>
      <w:r>
        <w:rPr>
          <w:rFonts w:ascii="Courier New" w:hAnsi="Courier New"/>
          <w:sz w:val="18"/>
        </w:rPr>
        <w:t xml:space="preserve">                    n = 34</w:t>
      </w:r>
    </w:p>
    <w:p>
      <w:pPr>
        <w:spacing w:line="240" w:lineRule="auto" w:after="0"/>
      </w:pPr>
      <w:r>
        <w:rPr>
          <w:rFonts w:ascii="Courier New" w:hAnsi="Courier New"/>
          <w:sz w:val="18"/>
        </w:rPr>
        <w:t xml:space="preserve">   (21 formal analytical sample + 8 contextual/</w:t>
      </w:r>
    </w:p>
    <w:p>
      <w:pPr>
        <w:spacing w:line="240" w:lineRule="auto" w:after="0"/>
      </w:pPr>
      <w:r>
        <w:rPr>
          <w:rFonts w:ascii="Courier New" w:hAnsi="Courier New"/>
          <w:sz w:val="18"/>
        </w:rPr>
        <w:t xml:space="preserve">    policy/decision-support + 5 methodology)</w:t>
      </w:r>
    </w:p>
    <w:p>
      <w:pPr>
        <w:spacing w:line="240" w:lineRule="auto" w:after="0"/>
      </w:pPr>
      <w:r>
        <w:rPr>
          <w:rFonts w:ascii="Courier New" w:hAnsi="Courier New"/>
          <w:sz w:val="18"/>
        </w:rPr>
        <w:t xml:space="preserve">                       │</w:t>
      </w:r>
    </w:p>
    <w:p>
      <w:pPr>
        <w:spacing w:line="240" w:lineRule="auto" w:after="0"/>
      </w:pPr>
      <w:r>
        <w:rPr>
          <w:rFonts w:ascii="Courier New" w:hAnsi="Courier New"/>
          <w:sz w:val="18"/>
        </w:rPr>
        <w:t xml:space="preserve">                       ▼</w:t>
      </w:r>
    </w:p>
    <w:p>
      <w:pPr>
        <w:spacing w:line="240" w:lineRule="auto" w:after="0"/>
      </w:pPr>
      <w:r>
        <w:rPr>
          <w:rFonts w:ascii="Courier New" w:hAnsi="Courier New"/>
          <w:sz w:val="18"/>
        </w:rPr>
        <w:t xml:space="preserve">     Reports individually assessed and excluded</w:t>
      </w:r>
    </w:p>
    <w:p>
      <w:pPr>
        <w:spacing w:line="240" w:lineRule="auto" w:after="0"/>
      </w:pPr>
      <w:r>
        <w:rPr>
          <w:rFonts w:ascii="Courier New" w:hAnsi="Courier New"/>
          <w:sz w:val="18"/>
        </w:rPr>
        <w:t xml:space="preserve">                    n = 4</w:t>
      </w:r>
    </w:p>
    <w:p>
      <w:pPr>
        <w:spacing w:line="240" w:lineRule="auto" w:after="0"/>
      </w:pPr>
      <w:r>
        <w:rPr>
          <w:rFonts w:ascii="Courier New" w:hAnsi="Courier New"/>
          <w:sz w:val="18"/>
        </w:rPr>
        <w:t xml:space="preserve">   Not genuine reshoring (China+1/re-offshoring pattern): 1</w:t>
      </w:r>
    </w:p>
    <w:p>
      <w:pPr>
        <w:spacing w:line="240" w:lineRule="auto" w:after="0"/>
      </w:pPr>
      <w:r>
        <w:rPr>
          <w:rFonts w:ascii="Courier New" w:hAnsi="Courier New"/>
          <w:sz w:val="18"/>
        </w:rPr>
        <w:t xml:space="preserve">   Closed access (full text not openly accessible): 1</w:t>
      </w:r>
    </w:p>
    <w:p>
      <w:pPr>
        <w:spacing w:line="240" w:lineRule="auto" w:after="0"/>
      </w:pPr>
      <w:r>
        <w:rPr>
          <w:rFonts w:ascii="Courier New" w:hAnsi="Courier New"/>
          <w:sz w:val="18"/>
        </w:rPr>
        <w:t xml:space="preserve">   Preprint, not peer-reviewed: 1</w:t>
      </w:r>
    </w:p>
    <w:p>
      <w:pPr>
        <w:spacing w:line="240" w:lineRule="auto" w:after="0"/>
      </w:pPr>
      <w:r>
        <w:rPr>
          <w:rFonts w:ascii="Courier New" w:hAnsi="Courier New"/>
          <w:sz w:val="18"/>
        </w:rPr>
        <w:t xml:space="preserve">   Duplicate of an already-included source: 1</w:t>
      </w:r>
    </w:p>
    <w:p>
      <w:pPr>
        <w:spacing w:line="240" w:lineRule="auto" w:after="0"/>
      </w:pPr>
      <w:r>
        <w:rPr>
          <w:rFonts w:ascii="Courier New" w:hAnsi="Courier New"/>
          <w:sz w:val="18"/>
        </w:rPr>
        <w:t xml:space="preserve">                       │</w:t>
      </w:r>
    </w:p>
    <w:p>
      <w:pPr>
        <w:spacing w:line="240" w:lineRule="auto" w:after="0"/>
      </w:pPr>
      <w:r>
        <w:rPr>
          <w:rFonts w:ascii="Courier New" w:hAnsi="Courier New"/>
          <w:sz w:val="18"/>
        </w:rPr>
        <w:t xml:space="preserve">                       ▼</w:t>
      </w:r>
    </w:p>
    <w:p>
      <w:pPr>
        <w:spacing w:line="240" w:lineRule="auto" w:after="0"/>
      </w:pPr>
      <w:r>
        <w:rPr>
          <w:rFonts w:ascii="Courier New" w:hAnsi="Courier New"/>
          <w:sz w:val="18"/>
        </w:rPr>
        <w:t xml:space="preserve">      Studies included in formal analytical sample</w:t>
      </w:r>
    </w:p>
    <w:p>
      <w:pPr>
        <w:spacing w:line="240" w:lineRule="auto" w:after="0"/>
      </w:pPr>
      <w:r>
        <w:rPr>
          <w:rFonts w:ascii="Courier New" w:hAnsi="Courier New"/>
          <w:sz w:val="18"/>
        </w:rPr>
        <w:t xml:space="preserve">                    n = 21</w:t>
      </w:r>
    </w:p>
    <w:p>
      <w:r>
        <w:t>† Records identified via the original exploratory search process (Arm 2) were not counted prospectively, because that phase preceded the adoption of a documented search protocol; the update search (Arm 1) provides the documented, reproducible search record for this thesis.</w:t>
      </w:r>
    </w:p>
    <w:p>
      <w:r>
        <w:t>---</w:t>
      </w:r>
    </w:p>
    <w:p>
      <w:pPr>
        <w:pStyle w:val="Heading2"/>
      </w:pPr>
      <w:r>
        <w:t>Total studies included in the review</w:t>
      </w:r>
    </w:p>
    <w:p>
      <w:r>
        <w:rPr>
          <w:b/>
        </w:rPr>
        <w:t>Formal analytical sample: n = 21</w:t>
      </w:r>
      <w:r>
        <w:t xml:space="preserve"> (Arms 1 + 2 combined; all 21 entered via Arm 2, none via Arm 1):</w:t>
      </w:r>
    </w:p>
    <w:p>
      <w:r>
        <w:t>Bilbao-Ubillos et al. (2024); Boffelli et al. (2021); D'Ambrosio and Lavoratori (2025); Di Mauro et al. (2018); Di Stefano and Fratocchi (2019); Espíndola et al. (2023); Gupta et al. (2023); Heikkilä et al. (2018); Kamp and Gibaja (2021); Li et al. (2025); Mirzaei et al. (2021); Ocicka (2016); Pedroletti (2025); Pedroletti and Ciabuschi (2023); Pegoraro et al. (2022); Pourhejazy and Ashby (2021); Robinson and Hsieh (2016); Stentoft et al. (2025); Tsai and Urmetzer (2024); Wan et al. (2019); Wiesmann et al. (2017). Full bibliographic details are given in the reference list.</w:t>
      </w:r>
    </w:p>
    <w:p>
      <w:r>
        <w:rPr>
          <w:b/>
        </w:rPr>
        <w:t>Additional sources retained outside the formal analytical sample</w:t>
      </w:r>
      <w:r>
        <w:t xml:space="preserve"> (not "included studies" in the PRISMA sense, reported here for transparency): - Contextual/policy/decision-support sources: n = 8 - Methodology sources: n = 5 - Primary theoretical sources (Williamson, 1985; Barney, 1991), used only in Sections 2.2 and 5.2: n = 2 — not part of this flow diagram.</w:t>
      </w:r>
    </w:p>
    <w:p>
      <w:r>
        <w:rPr>
          <w:b/>
        </w:rPr>
        <w:t>Corpus total: n = 36.</w:t>
      </w:r>
    </w:p>
    <w:p>
      <w:pPr>
        <w:pStyle w:val="Heading1"/>
      </w:pPr>
      <w:r>
        <w:t>Appendix B — Coding Table</w:t>
      </w:r>
    </w:p>
    <w:p>
      <w:r>
        <w:rPr>
          <w:b/>
        </w:rPr>
        <w:t>Appendix B. Barrier-theme coding table: each barrier theme cross-referenced to its contributing sources and the evidence type each source provides.</w:t>
      </w:r>
      <w:r>
        <w:t xml:space="preserve"> Evidence types (direct empirical / review / conceptual) are recorded separately per source and are not aggregated. Verification and Asia-specificity qualifications are given in Tables 1–4 (Chapter 4, Sections 4.2–4.5).</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Pr>
                <w:b/>
                <w:sz w:val="20"/>
              </w:rPr>
              <w:t>Theme</w:t>
            </w:r>
          </w:p>
        </w:tc>
        <w:tc>
          <w:tcPr>
            <w:tcW w:type="dxa" w:w="2340"/>
          </w:tcPr>
          <w:p>
            <w:pPr>
              <w:spacing w:line="240" w:lineRule="auto"/>
            </w:pPr>
            <w:r>
              <w:rPr>
                <w:b/>
                <w:sz w:val="20"/>
              </w:rPr>
              <w:t>Framework category</w:t>
            </w:r>
          </w:p>
        </w:tc>
        <w:tc>
          <w:tcPr>
            <w:tcW w:type="dxa" w:w="2340"/>
          </w:tcPr>
          <w:p>
            <w:pPr>
              <w:spacing w:line="240" w:lineRule="auto"/>
            </w:pPr>
            <w:r>
              <w:rPr>
                <w:b/>
                <w:sz w:val="20"/>
              </w:rPr>
              <w:t>Source</w:t>
            </w:r>
          </w:p>
        </w:tc>
        <w:tc>
          <w:tcPr>
            <w:tcW w:type="dxa" w:w="2340"/>
          </w:tcPr>
          <w:p>
            <w:pPr>
              <w:spacing w:line="240" w:lineRule="auto"/>
            </w:pPr>
            <w:r>
              <w:rPr>
                <w:b/>
                <w:sz w:val="20"/>
              </w:rPr>
              <w:t>Evidence type</w:t>
            </w:r>
          </w:p>
        </w:tc>
      </w:tr>
      <w:tr>
        <w:tc>
          <w:tcPr>
            <w:tcW w:type="dxa" w:w="2340"/>
          </w:tcPr>
          <w:p>
            <w:pPr>
              <w:spacing w:line="240" w:lineRule="auto"/>
            </w:pPr>
            <w:r>
              <w:rPr>
                <w:sz w:val="20"/>
              </w:rPr>
              <w:t>1.1</w:t>
            </w:r>
          </w:p>
        </w:tc>
        <w:tc>
          <w:tcPr>
            <w:tcW w:type="dxa" w:w="2340"/>
          </w:tcPr>
          <w:p>
            <w:pPr>
              <w:spacing w:line="240" w:lineRule="auto"/>
            </w:pPr>
            <w:r>
              <w:rPr>
                <w:sz w:val="20"/>
              </w:rPr>
              <w:t>Asset/Capability</w:t>
            </w:r>
          </w:p>
        </w:tc>
        <w:tc>
          <w:tcPr>
            <w:tcW w:type="dxa" w:w="2340"/>
          </w:tcPr>
          <w:p>
            <w:pPr>
              <w:spacing w:line="240" w:lineRule="auto"/>
            </w:pPr>
            <w:r>
              <w:rPr>
                <w:sz w:val="20"/>
              </w:rPr>
              <w:t>Pegoraro et al. (2022)</w:t>
            </w:r>
          </w:p>
        </w:tc>
        <w:tc>
          <w:tcPr>
            <w:tcW w:type="dxa" w:w="2340"/>
          </w:tcPr>
          <w:p>
            <w:pPr>
              <w:spacing w:line="240" w:lineRule="auto"/>
            </w:pPr>
            <w:r>
              <w:rPr>
                <w:sz w:val="20"/>
              </w:rPr>
              <w:t>Direct empirical (single case, China→UK)</w:t>
            </w:r>
          </w:p>
        </w:tc>
      </w:tr>
      <w:tr>
        <w:tc>
          <w:tcPr>
            <w:tcW w:type="dxa" w:w="2340"/>
          </w:tcPr>
          <w:p>
            <w:pPr>
              <w:spacing w:line="240" w:lineRule="auto"/>
            </w:pPr>
            <w:r>
              <w:rPr>
                <w:sz w:val="20"/>
              </w:rPr>
              <w:t>1.1</w:t>
            </w:r>
          </w:p>
        </w:tc>
        <w:tc>
          <w:tcPr>
            <w:tcW w:type="dxa" w:w="2340"/>
          </w:tcPr>
          <w:p>
            <w:pPr>
              <w:spacing w:line="240" w:lineRule="auto"/>
            </w:pPr>
            <w:r>
              <w:rPr>
                <w:sz w:val="20"/>
              </w:rPr>
              <w:t>Asset/Capability</w:t>
            </w:r>
          </w:p>
        </w:tc>
        <w:tc>
          <w:tcPr>
            <w:tcW w:type="dxa" w:w="2340"/>
          </w:tcPr>
          <w:p>
            <w:pPr>
              <w:spacing w:line="240" w:lineRule="auto"/>
            </w:pPr>
            <w:r>
              <w:rPr>
                <w:sz w:val="20"/>
              </w:rPr>
              <w:t>Li et al. (2025)</w:t>
            </w:r>
          </w:p>
        </w:tc>
        <w:tc>
          <w:tcPr>
            <w:tcW w:type="dxa" w:w="2340"/>
          </w:tcPr>
          <w:p>
            <w:pPr>
              <w:spacing w:line="240" w:lineRule="auto"/>
            </w:pPr>
            <w:r>
              <w:rPr>
                <w:sz w:val="20"/>
              </w:rPr>
              <w:t>Direct empirical (general Nordic/Swedish)</w:t>
            </w:r>
          </w:p>
        </w:tc>
      </w:tr>
      <w:tr>
        <w:tc>
          <w:tcPr>
            <w:tcW w:type="dxa" w:w="2340"/>
          </w:tcPr>
          <w:p>
            <w:pPr>
              <w:spacing w:line="240" w:lineRule="auto"/>
            </w:pPr>
            <w:r>
              <w:rPr>
                <w:sz w:val="20"/>
              </w:rPr>
              <w:t>1.1</w:t>
            </w:r>
          </w:p>
        </w:tc>
        <w:tc>
          <w:tcPr>
            <w:tcW w:type="dxa" w:w="2340"/>
          </w:tcPr>
          <w:p>
            <w:pPr>
              <w:spacing w:line="240" w:lineRule="auto"/>
            </w:pPr>
            <w:r>
              <w:rPr>
                <w:sz w:val="20"/>
              </w:rPr>
              <w:t>Asset/Capability</w:t>
            </w:r>
          </w:p>
        </w:tc>
        <w:tc>
          <w:tcPr>
            <w:tcW w:type="dxa" w:w="2340"/>
          </w:tcPr>
          <w:p>
            <w:pPr>
              <w:spacing w:line="240" w:lineRule="auto"/>
            </w:pPr>
            <w:r>
              <w:rPr>
                <w:sz w:val="20"/>
              </w:rPr>
              <w:t>Di Mauro et al. (2018)</w:t>
            </w:r>
          </w:p>
        </w:tc>
        <w:tc>
          <w:tcPr>
            <w:tcW w:type="dxa" w:w="2340"/>
          </w:tcPr>
          <w:p>
            <w:pPr>
              <w:spacing w:line="240" w:lineRule="auto"/>
            </w:pPr>
            <w:r>
              <w:rPr>
                <w:sz w:val="20"/>
              </w:rPr>
              <w:t>Direct empirical (limited; partial China attribution)</w:t>
            </w:r>
          </w:p>
        </w:tc>
      </w:tr>
      <w:tr>
        <w:tc>
          <w:tcPr>
            <w:tcW w:type="dxa" w:w="2340"/>
          </w:tcPr>
          <w:p>
            <w:pPr>
              <w:spacing w:line="240" w:lineRule="auto"/>
            </w:pPr>
            <w:r>
              <w:rPr>
                <w:sz w:val="20"/>
              </w:rPr>
              <w:t>1.1</w:t>
            </w:r>
          </w:p>
        </w:tc>
        <w:tc>
          <w:tcPr>
            <w:tcW w:type="dxa" w:w="2340"/>
          </w:tcPr>
          <w:p>
            <w:pPr>
              <w:spacing w:line="240" w:lineRule="auto"/>
            </w:pPr>
            <w:r>
              <w:rPr>
                <w:sz w:val="20"/>
              </w:rPr>
              <w:t>Asset/Capability</w:t>
            </w:r>
          </w:p>
        </w:tc>
        <w:tc>
          <w:tcPr>
            <w:tcW w:type="dxa" w:w="2340"/>
          </w:tcPr>
          <w:p>
            <w:pPr>
              <w:spacing w:line="240" w:lineRule="auto"/>
            </w:pPr>
            <w:r>
              <w:rPr>
                <w:sz w:val="20"/>
              </w:rPr>
              <w:t>Mirzaei et al. (2021)</w:t>
            </w:r>
          </w:p>
        </w:tc>
        <w:tc>
          <w:tcPr>
            <w:tcW w:type="dxa" w:w="2340"/>
          </w:tcPr>
          <w:p>
            <w:pPr>
              <w:spacing w:line="240" w:lineRule="auto"/>
            </w:pPr>
            <w:r>
              <w:rPr>
                <w:sz w:val="20"/>
              </w:rPr>
              <w:t>Direct empirical (general Swedish)</w:t>
            </w:r>
          </w:p>
        </w:tc>
      </w:tr>
      <w:tr>
        <w:tc>
          <w:tcPr>
            <w:tcW w:type="dxa" w:w="2340"/>
          </w:tcPr>
          <w:p>
            <w:pPr>
              <w:spacing w:line="240" w:lineRule="auto"/>
            </w:pPr>
            <w:r>
              <w:rPr>
                <w:sz w:val="20"/>
              </w:rPr>
              <w:t>1.1</w:t>
            </w:r>
          </w:p>
        </w:tc>
        <w:tc>
          <w:tcPr>
            <w:tcW w:type="dxa" w:w="2340"/>
          </w:tcPr>
          <w:p>
            <w:pPr>
              <w:spacing w:line="240" w:lineRule="auto"/>
            </w:pPr>
            <w:r>
              <w:rPr>
                <w:sz w:val="20"/>
              </w:rPr>
              <w:t>Asset/Capability</w:t>
            </w:r>
          </w:p>
        </w:tc>
        <w:tc>
          <w:tcPr>
            <w:tcW w:type="dxa" w:w="2340"/>
          </w:tcPr>
          <w:p>
            <w:pPr>
              <w:spacing w:line="240" w:lineRule="auto"/>
            </w:pPr>
            <w:r>
              <w:rPr>
                <w:sz w:val="20"/>
              </w:rPr>
              <w:t>Wiesmann et al. (2017)</w:t>
            </w:r>
          </w:p>
        </w:tc>
        <w:tc>
          <w:tcPr>
            <w:tcW w:type="dxa" w:w="2340"/>
          </w:tcPr>
          <w:p>
            <w:pPr>
              <w:spacing w:line="240" w:lineRule="auto"/>
            </w:pPr>
            <w:r>
              <w:rPr>
                <w:sz w:val="20"/>
              </w:rPr>
              <w:t>Review</w:t>
            </w:r>
          </w:p>
        </w:tc>
      </w:tr>
      <w:tr>
        <w:tc>
          <w:tcPr>
            <w:tcW w:type="dxa" w:w="2340"/>
          </w:tcPr>
          <w:p>
            <w:pPr>
              <w:spacing w:line="240" w:lineRule="auto"/>
            </w:pPr>
            <w:r>
              <w:rPr>
                <w:sz w:val="20"/>
              </w:rPr>
              <w:t>1.1</w:t>
            </w:r>
          </w:p>
        </w:tc>
        <w:tc>
          <w:tcPr>
            <w:tcW w:type="dxa" w:w="2340"/>
          </w:tcPr>
          <w:p>
            <w:pPr>
              <w:spacing w:line="240" w:lineRule="auto"/>
            </w:pPr>
            <w:r>
              <w:rPr>
                <w:sz w:val="20"/>
              </w:rPr>
              <w:t>Asset/Capability</w:t>
            </w:r>
          </w:p>
        </w:tc>
        <w:tc>
          <w:tcPr>
            <w:tcW w:type="dxa" w:w="2340"/>
          </w:tcPr>
          <w:p>
            <w:pPr>
              <w:spacing w:line="240" w:lineRule="auto"/>
            </w:pPr>
            <w:r>
              <w:rPr>
                <w:sz w:val="20"/>
              </w:rPr>
              <w:t>Ocicka (2016)</w:t>
            </w:r>
          </w:p>
        </w:tc>
        <w:tc>
          <w:tcPr>
            <w:tcW w:type="dxa" w:w="2340"/>
          </w:tcPr>
          <w:p>
            <w:pPr>
              <w:spacing w:line="240" w:lineRule="auto"/>
            </w:pPr>
            <w:r>
              <w:rPr>
                <w:sz w:val="20"/>
              </w:rPr>
              <w:t>Review</w:t>
            </w:r>
          </w:p>
        </w:tc>
      </w:tr>
      <w:tr>
        <w:tc>
          <w:tcPr>
            <w:tcW w:type="dxa" w:w="2340"/>
          </w:tcPr>
          <w:p>
            <w:pPr>
              <w:spacing w:line="240" w:lineRule="auto"/>
            </w:pPr>
            <w:r>
              <w:rPr>
                <w:sz w:val="20"/>
              </w:rPr>
              <w:t>1.1</w:t>
            </w:r>
          </w:p>
        </w:tc>
        <w:tc>
          <w:tcPr>
            <w:tcW w:type="dxa" w:w="2340"/>
          </w:tcPr>
          <w:p>
            <w:pPr>
              <w:spacing w:line="240" w:lineRule="auto"/>
            </w:pPr>
            <w:r>
              <w:rPr>
                <w:sz w:val="20"/>
              </w:rPr>
              <w:t>Asset/Capability</w:t>
            </w:r>
          </w:p>
        </w:tc>
        <w:tc>
          <w:tcPr>
            <w:tcW w:type="dxa" w:w="2340"/>
          </w:tcPr>
          <w:p>
            <w:pPr>
              <w:spacing w:line="240" w:lineRule="auto"/>
            </w:pPr>
            <w:r>
              <w:rPr>
                <w:sz w:val="20"/>
              </w:rPr>
              <w:t>Bilbao-Ubillos et al. (2024)</w:t>
            </w:r>
          </w:p>
        </w:tc>
        <w:tc>
          <w:tcPr>
            <w:tcW w:type="dxa" w:w="2340"/>
          </w:tcPr>
          <w:p>
            <w:pPr>
              <w:spacing w:line="240" w:lineRule="auto"/>
            </w:pPr>
            <w:r>
              <w:rPr>
                <w:sz w:val="20"/>
              </w:rPr>
              <w:t>Review</w:t>
            </w:r>
          </w:p>
        </w:tc>
      </w:tr>
      <w:tr>
        <w:tc>
          <w:tcPr>
            <w:tcW w:type="dxa" w:w="2340"/>
          </w:tcPr>
          <w:p>
            <w:pPr>
              <w:spacing w:line="240" w:lineRule="auto"/>
            </w:pPr>
            <w:r>
              <w:rPr>
                <w:sz w:val="20"/>
              </w:rPr>
              <w:t>1.1</w:t>
            </w:r>
          </w:p>
        </w:tc>
        <w:tc>
          <w:tcPr>
            <w:tcW w:type="dxa" w:w="2340"/>
          </w:tcPr>
          <w:p>
            <w:pPr>
              <w:spacing w:line="240" w:lineRule="auto"/>
            </w:pPr>
            <w:r>
              <w:rPr>
                <w:sz w:val="20"/>
              </w:rPr>
              <w:t>Asset/Capability</w:t>
            </w:r>
          </w:p>
        </w:tc>
        <w:tc>
          <w:tcPr>
            <w:tcW w:type="dxa" w:w="2340"/>
          </w:tcPr>
          <w:p>
            <w:pPr>
              <w:spacing w:line="240" w:lineRule="auto"/>
            </w:pPr>
            <w:r>
              <w:rPr>
                <w:sz w:val="20"/>
              </w:rPr>
              <w:t>D'Ambrosio &amp; Lavoratori (2025)</w:t>
            </w:r>
          </w:p>
        </w:tc>
        <w:tc>
          <w:tcPr>
            <w:tcW w:type="dxa" w:w="2340"/>
          </w:tcPr>
          <w:p>
            <w:pPr>
              <w:spacing w:line="240" w:lineRule="auto"/>
            </w:pPr>
            <w:r>
              <w:rPr>
                <w:sz w:val="20"/>
              </w:rPr>
              <w:t>Conceptual</w:t>
            </w:r>
          </w:p>
        </w:tc>
      </w:tr>
      <w:tr>
        <w:tc>
          <w:tcPr>
            <w:tcW w:type="dxa" w:w="2340"/>
          </w:tcPr>
          <w:p>
            <w:pPr>
              <w:spacing w:line="240" w:lineRule="auto"/>
            </w:pPr>
            <w:r>
              <w:rPr>
                <w:sz w:val="20"/>
              </w:rPr>
              <w:t>1.1</w:t>
            </w:r>
          </w:p>
        </w:tc>
        <w:tc>
          <w:tcPr>
            <w:tcW w:type="dxa" w:w="2340"/>
          </w:tcPr>
          <w:p>
            <w:pPr>
              <w:spacing w:line="240" w:lineRule="auto"/>
            </w:pPr>
            <w:r>
              <w:rPr>
                <w:sz w:val="20"/>
              </w:rPr>
              <w:t>Asset/Capability</w:t>
            </w:r>
          </w:p>
        </w:tc>
        <w:tc>
          <w:tcPr>
            <w:tcW w:type="dxa" w:w="2340"/>
          </w:tcPr>
          <w:p>
            <w:pPr>
              <w:spacing w:line="240" w:lineRule="auto"/>
            </w:pPr>
            <w:r>
              <w:rPr>
                <w:sz w:val="20"/>
              </w:rPr>
              <w:t>Gupta et al. (2023)</w:t>
            </w:r>
          </w:p>
        </w:tc>
        <w:tc>
          <w:tcPr>
            <w:tcW w:type="dxa" w:w="2340"/>
          </w:tcPr>
          <w:p>
            <w:pPr>
              <w:spacing w:line="240" w:lineRule="auto"/>
            </w:pPr>
            <w:r>
              <w:rPr>
                <w:sz w:val="20"/>
              </w:rPr>
              <w:t>Conceptual</w:t>
            </w:r>
          </w:p>
        </w:tc>
      </w:tr>
      <w:tr>
        <w:tc>
          <w:tcPr>
            <w:tcW w:type="dxa" w:w="2340"/>
          </w:tcPr>
          <w:p>
            <w:pPr>
              <w:spacing w:line="240" w:lineRule="auto"/>
            </w:pPr>
            <w:r>
              <w:rPr>
                <w:sz w:val="20"/>
              </w:rPr>
              <w:t>1.2</w:t>
            </w:r>
          </w:p>
        </w:tc>
        <w:tc>
          <w:tcPr>
            <w:tcW w:type="dxa" w:w="2340"/>
          </w:tcPr>
          <w:p>
            <w:pPr>
              <w:spacing w:line="240" w:lineRule="auto"/>
            </w:pPr>
            <w:r>
              <w:rPr>
                <w:sz w:val="20"/>
              </w:rPr>
              <w:t>Asset/Capability</w:t>
            </w:r>
          </w:p>
        </w:tc>
        <w:tc>
          <w:tcPr>
            <w:tcW w:type="dxa" w:w="2340"/>
          </w:tcPr>
          <w:p>
            <w:pPr>
              <w:spacing w:line="240" w:lineRule="auto"/>
            </w:pPr>
            <w:r>
              <w:rPr>
                <w:sz w:val="20"/>
              </w:rPr>
              <w:t>Pegoraro et al. (2022)</w:t>
            </w:r>
          </w:p>
        </w:tc>
        <w:tc>
          <w:tcPr>
            <w:tcW w:type="dxa" w:w="2340"/>
          </w:tcPr>
          <w:p>
            <w:pPr>
              <w:spacing w:line="240" w:lineRule="auto"/>
            </w:pPr>
            <w:r>
              <w:rPr>
                <w:sz w:val="20"/>
              </w:rPr>
              <w:t>Direct empirical (single case, China→UK)</w:t>
            </w:r>
          </w:p>
        </w:tc>
      </w:tr>
      <w:tr>
        <w:tc>
          <w:tcPr>
            <w:tcW w:type="dxa" w:w="2340"/>
          </w:tcPr>
          <w:p>
            <w:pPr>
              <w:spacing w:line="240" w:lineRule="auto"/>
            </w:pPr>
            <w:r>
              <w:rPr>
                <w:sz w:val="20"/>
              </w:rPr>
              <w:t>1.2</w:t>
            </w:r>
          </w:p>
        </w:tc>
        <w:tc>
          <w:tcPr>
            <w:tcW w:type="dxa" w:w="2340"/>
          </w:tcPr>
          <w:p>
            <w:pPr>
              <w:spacing w:line="240" w:lineRule="auto"/>
            </w:pPr>
            <w:r>
              <w:rPr>
                <w:sz w:val="20"/>
              </w:rPr>
              <w:t>Asset/Capability</w:t>
            </w:r>
          </w:p>
        </w:tc>
        <w:tc>
          <w:tcPr>
            <w:tcW w:type="dxa" w:w="2340"/>
          </w:tcPr>
          <w:p>
            <w:pPr>
              <w:spacing w:line="240" w:lineRule="auto"/>
            </w:pPr>
            <w:r>
              <w:rPr>
                <w:sz w:val="20"/>
              </w:rPr>
              <w:t>Li et al. (2025)</w:t>
            </w:r>
          </w:p>
        </w:tc>
        <w:tc>
          <w:tcPr>
            <w:tcW w:type="dxa" w:w="2340"/>
          </w:tcPr>
          <w:p>
            <w:pPr>
              <w:spacing w:line="240" w:lineRule="auto"/>
            </w:pPr>
            <w:r>
              <w:rPr>
                <w:sz w:val="20"/>
              </w:rPr>
              <w:t>Direct empirical (general Nordic/Swedish)</w:t>
            </w:r>
          </w:p>
        </w:tc>
      </w:tr>
      <w:tr>
        <w:tc>
          <w:tcPr>
            <w:tcW w:type="dxa" w:w="2340"/>
          </w:tcPr>
          <w:p>
            <w:pPr>
              <w:spacing w:line="240" w:lineRule="auto"/>
            </w:pPr>
            <w:r>
              <w:rPr>
                <w:sz w:val="20"/>
              </w:rPr>
              <w:t>1.2</w:t>
            </w:r>
          </w:p>
        </w:tc>
        <w:tc>
          <w:tcPr>
            <w:tcW w:type="dxa" w:w="2340"/>
          </w:tcPr>
          <w:p>
            <w:pPr>
              <w:spacing w:line="240" w:lineRule="auto"/>
            </w:pPr>
            <w:r>
              <w:rPr>
                <w:sz w:val="20"/>
              </w:rPr>
              <w:t>Asset/Capability</w:t>
            </w:r>
          </w:p>
        </w:tc>
        <w:tc>
          <w:tcPr>
            <w:tcW w:type="dxa" w:w="2340"/>
          </w:tcPr>
          <w:p>
            <w:pPr>
              <w:spacing w:line="240" w:lineRule="auto"/>
            </w:pPr>
            <w:r>
              <w:rPr>
                <w:sz w:val="20"/>
              </w:rPr>
              <w:t>Mirzaei et al. (2021)</w:t>
            </w:r>
          </w:p>
        </w:tc>
        <w:tc>
          <w:tcPr>
            <w:tcW w:type="dxa" w:w="2340"/>
          </w:tcPr>
          <w:p>
            <w:pPr>
              <w:spacing w:line="240" w:lineRule="auto"/>
            </w:pPr>
            <w:r>
              <w:rPr>
                <w:sz w:val="20"/>
              </w:rPr>
              <w:t>Direct empirical (general Swedish)</w:t>
            </w:r>
          </w:p>
        </w:tc>
      </w:tr>
      <w:tr>
        <w:tc>
          <w:tcPr>
            <w:tcW w:type="dxa" w:w="2340"/>
          </w:tcPr>
          <w:p>
            <w:pPr>
              <w:spacing w:line="240" w:lineRule="auto"/>
            </w:pPr>
            <w:r>
              <w:rPr>
                <w:sz w:val="20"/>
              </w:rPr>
              <w:t>1.2</w:t>
            </w:r>
          </w:p>
        </w:tc>
        <w:tc>
          <w:tcPr>
            <w:tcW w:type="dxa" w:w="2340"/>
          </w:tcPr>
          <w:p>
            <w:pPr>
              <w:spacing w:line="240" w:lineRule="auto"/>
            </w:pPr>
            <w:r>
              <w:rPr>
                <w:sz w:val="20"/>
              </w:rPr>
              <w:t>Asset/Capability</w:t>
            </w:r>
          </w:p>
        </w:tc>
        <w:tc>
          <w:tcPr>
            <w:tcW w:type="dxa" w:w="2340"/>
          </w:tcPr>
          <w:p>
            <w:pPr>
              <w:spacing w:line="240" w:lineRule="auto"/>
            </w:pPr>
            <w:r>
              <w:rPr>
                <w:sz w:val="20"/>
              </w:rPr>
              <w:t>Wiesmann et al. (2017)</w:t>
            </w:r>
          </w:p>
        </w:tc>
        <w:tc>
          <w:tcPr>
            <w:tcW w:type="dxa" w:w="2340"/>
          </w:tcPr>
          <w:p>
            <w:pPr>
              <w:spacing w:line="240" w:lineRule="auto"/>
            </w:pPr>
            <w:r>
              <w:rPr>
                <w:sz w:val="20"/>
              </w:rPr>
              <w:t>Review</w:t>
            </w:r>
          </w:p>
        </w:tc>
      </w:tr>
      <w:tr>
        <w:tc>
          <w:tcPr>
            <w:tcW w:type="dxa" w:w="2340"/>
          </w:tcPr>
          <w:p>
            <w:pPr>
              <w:spacing w:line="240" w:lineRule="auto"/>
            </w:pPr>
            <w:r>
              <w:rPr>
                <w:sz w:val="20"/>
              </w:rPr>
              <w:t>1.2</w:t>
            </w:r>
          </w:p>
        </w:tc>
        <w:tc>
          <w:tcPr>
            <w:tcW w:type="dxa" w:w="2340"/>
          </w:tcPr>
          <w:p>
            <w:pPr>
              <w:spacing w:line="240" w:lineRule="auto"/>
            </w:pPr>
            <w:r>
              <w:rPr>
                <w:sz w:val="20"/>
              </w:rPr>
              <w:t>Asset/Capability</w:t>
            </w:r>
          </w:p>
        </w:tc>
        <w:tc>
          <w:tcPr>
            <w:tcW w:type="dxa" w:w="2340"/>
          </w:tcPr>
          <w:p>
            <w:pPr>
              <w:spacing w:line="240" w:lineRule="auto"/>
            </w:pPr>
            <w:r>
              <w:rPr>
                <w:sz w:val="20"/>
              </w:rPr>
              <w:t>D'Ambrosio &amp; Lavoratori (2025)</w:t>
            </w:r>
          </w:p>
        </w:tc>
        <w:tc>
          <w:tcPr>
            <w:tcW w:type="dxa" w:w="2340"/>
          </w:tcPr>
          <w:p>
            <w:pPr>
              <w:spacing w:line="240" w:lineRule="auto"/>
            </w:pPr>
            <w:r>
              <w:rPr>
                <w:sz w:val="20"/>
              </w:rPr>
              <w:t>Conceptual</w:t>
            </w:r>
          </w:p>
        </w:tc>
      </w:tr>
      <w:tr>
        <w:tc>
          <w:tcPr>
            <w:tcW w:type="dxa" w:w="2340"/>
          </w:tcPr>
          <w:p>
            <w:pPr>
              <w:spacing w:line="240" w:lineRule="auto"/>
            </w:pPr>
            <w:r>
              <w:rPr>
                <w:sz w:val="20"/>
              </w:rPr>
              <w:t>1.2</w:t>
            </w:r>
          </w:p>
        </w:tc>
        <w:tc>
          <w:tcPr>
            <w:tcW w:type="dxa" w:w="2340"/>
          </w:tcPr>
          <w:p>
            <w:pPr>
              <w:spacing w:line="240" w:lineRule="auto"/>
            </w:pPr>
            <w:r>
              <w:rPr>
                <w:sz w:val="20"/>
              </w:rPr>
              <w:t>Asset/Capability</w:t>
            </w:r>
          </w:p>
        </w:tc>
        <w:tc>
          <w:tcPr>
            <w:tcW w:type="dxa" w:w="2340"/>
          </w:tcPr>
          <w:p>
            <w:pPr>
              <w:spacing w:line="240" w:lineRule="auto"/>
            </w:pPr>
            <w:r>
              <w:rPr>
                <w:sz w:val="20"/>
              </w:rPr>
              <w:t>Gupta et al. (2023)</w:t>
            </w:r>
          </w:p>
        </w:tc>
        <w:tc>
          <w:tcPr>
            <w:tcW w:type="dxa" w:w="2340"/>
          </w:tcPr>
          <w:p>
            <w:pPr>
              <w:spacing w:line="240" w:lineRule="auto"/>
            </w:pPr>
            <w:r>
              <w:rPr>
                <w:sz w:val="20"/>
              </w:rPr>
              <w:t>Conceptual</w:t>
            </w:r>
          </w:p>
        </w:tc>
      </w:tr>
      <w:tr>
        <w:tc>
          <w:tcPr>
            <w:tcW w:type="dxa" w:w="2340"/>
          </w:tcPr>
          <w:p>
            <w:pPr>
              <w:spacing w:line="240" w:lineRule="auto"/>
            </w:pPr>
            <w:r>
              <w:rPr>
                <w:sz w:val="20"/>
              </w:rPr>
              <w:t>1.3</w:t>
            </w:r>
          </w:p>
        </w:tc>
        <w:tc>
          <w:tcPr>
            <w:tcW w:type="dxa" w:w="2340"/>
          </w:tcPr>
          <w:p>
            <w:pPr>
              <w:spacing w:line="240" w:lineRule="auto"/>
            </w:pPr>
            <w:r>
              <w:rPr>
                <w:sz w:val="20"/>
              </w:rPr>
              <w:t>Asset/Capability</w:t>
            </w:r>
          </w:p>
        </w:tc>
        <w:tc>
          <w:tcPr>
            <w:tcW w:type="dxa" w:w="2340"/>
          </w:tcPr>
          <w:p>
            <w:pPr>
              <w:spacing w:line="240" w:lineRule="auto"/>
            </w:pPr>
            <w:r>
              <w:rPr>
                <w:sz w:val="20"/>
              </w:rPr>
              <w:t>Pedroletti (2025)</w:t>
            </w:r>
          </w:p>
        </w:tc>
        <w:tc>
          <w:tcPr>
            <w:tcW w:type="dxa" w:w="2340"/>
          </w:tcPr>
          <w:p>
            <w:pPr>
              <w:spacing w:line="240" w:lineRule="auto"/>
            </w:pPr>
            <w:r>
              <w:rPr>
                <w:sz w:val="20"/>
              </w:rPr>
              <w:t>Direct empirical (single case, China→Italy)</w:t>
            </w:r>
          </w:p>
        </w:tc>
      </w:tr>
      <w:tr>
        <w:tc>
          <w:tcPr>
            <w:tcW w:type="dxa" w:w="2340"/>
          </w:tcPr>
          <w:p>
            <w:pPr>
              <w:spacing w:line="240" w:lineRule="auto"/>
            </w:pPr>
            <w:r>
              <w:rPr>
                <w:sz w:val="20"/>
              </w:rPr>
              <w:t>1.3</w:t>
            </w:r>
          </w:p>
        </w:tc>
        <w:tc>
          <w:tcPr>
            <w:tcW w:type="dxa" w:w="2340"/>
          </w:tcPr>
          <w:p>
            <w:pPr>
              <w:spacing w:line="240" w:lineRule="auto"/>
            </w:pPr>
            <w:r>
              <w:rPr>
                <w:sz w:val="20"/>
              </w:rPr>
              <w:t>Asset/Capability</w:t>
            </w:r>
          </w:p>
        </w:tc>
        <w:tc>
          <w:tcPr>
            <w:tcW w:type="dxa" w:w="2340"/>
          </w:tcPr>
          <w:p>
            <w:pPr>
              <w:spacing w:line="240" w:lineRule="auto"/>
            </w:pPr>
            <w:r>
              <w:rPr>
                <w:sz w:val="20"/>
              </w:rPr>
              <w:t>Li et al. (2025)</w:t>
            </w:r>
          </w:p>
        </w:tc>
        <w:tc>
          <w:tcPr>
            <w:tcW w:type="dxa" w:w="2340"/>
          </w:tcPr>
          <w:p>
            <w:pPr>
              <w:spacing w:line="240" w:lineRule="auto"/>
            </w:pPr>
            <w:r>
              <w:rPr>
                <w:sz w:val="20"/>
              </w:rPr>
              <w:t>Direct empirical (general Nordic/Swedish)</w:t>
            </w:r>
          </w:p>
        </w:tc>
      </w:tr>
      <w:tr>
        <w:tc>
          <w:tcPr>
            <w:tcW w:type="dxa" w:w="2340"/>
          </w:tcPr>
          <w:p>
            <w:pPr>
              <w:spacing w:line="240" w:lineRule="auto"/>
            </w:pPr>
            <w:r>
              <w:rPr>
                <w:sz w:val="20"/>
              </w:rPr>
              <w:t>1.3</w:t>
            </w:r>
          </w:p>
        </w:tc>
        <w:tc>
          <w:tcPr>
            <w:tcW w:type="dxa" w:w="2340"/>
          </w:tcPr>
          <w:p>
            <w:pPr>
              <w:spacing w:line="240" w:lineRule="auto"/>
            </w:pPr>
            <w:r>
              <w:rPr>
                <w:sz w:val="20"/>
              </w:rPr>
              <w:t>Asset/Capability</w:t>
            </w:r>
          </w:p>
        </w:tc>
        <w:tc>
          <w:tcPr>
            <w:tcW w:type="dxa" w:w="2340"/>
          </w:tcPr>
          <w:p>
            <w:pPr>
              <w:spacing w:line="240" w:lineRule="auto"/>
            </w:pPr>
            <w:r>
              <w:rPr>
                <w:sz w:val="20"/>
              </w:rPr>
              <w:t>Wiesmann et al. (2017)</w:t>
            </w:r>
          </w:p>
        </w:tc>
        <w:tc>
          <w:tcPr>
            <w:tcW w:type="dxa" w:w="2340"/>
          </w:tcPr>
          <w:p>
            <w:pPr>
              <w:spacing w:line="240" w:lineRule="auto"/>
            </w:pPr>
            <w:r>
              <w:rPr>
                <w:sz w:val="20"/>
              </w:rPr>
              <w:t>Review</w:t>
            </w:r>
          </w:p>
        </w:tc>
      </w:tr>
      <w:tr>
        <w:tc>
          <w:tcPr>
            <w:tcW w:type="dxa" w:w="2340"/>
          </w:tcPr>
          <w:p>
            <w:pPr>
              <w:spacing w:line="240" w:lineRule="auto"/>
            </w:pPr>
            <w:r>
              <w:rPr>
                <w:sz w:val="20"/>
              </w:rPr>
              <w:t>1.3</w:t>
            </w:r>
          </w:p>
        </w:tc>
        <w:tc>
          <w:tcPr>
            <w:tcW w:type="dxa" w:w="2340"/>
          </w:tcPr>
          <w:p>
            <w:pPr>
              <w:spacing w:line="240" w:lineRule="auto"/>
            </w:pPr>
            <w:r>
              <w:rPr>
                <w:sz w:val="20"/>
              </w:rPr>
              <w:t>Asset/Capability</w:t>
            </w:r>
          </w:p>
        </w:tc>
        <w:tc>
          <w:tcPr>
            <w:tcW w:type="dxa" w:w="2340"/>
          </w:tcPr>
          <w:p>
            <w:pPr>
              <w:spacing w:line="240" w:lineRule="auto"/>
            </w:pPr>
            <w:r>
              <w:rPr>
                <w:sz w:val="20"/>
              </w:rPr>
              <w:t>Bilbao-Ubillos et al. (2024)</w:t>
            </w:r>
          </w:p>
        </w:tc>
        <w:tc>
          <w:tcPr>
            <w:tcW w:type="dxa" w:w="2340"/>
          </w:tcPr>
          <w:p>
            <w:pPr>
              <w:spacing w:line="240" w:lineRule="auto"/>
            </w:pPr>
            <w:r>
              <w:rPr>
                <w:sz w:val="20"/>
              </w:rPr>
              <w:t>Review</w:t>
            </w:r>
          </w:p>
        </w:tc>
      </w:tr>
      <w:tr>
        <w:tc>
          <w:tcPr>
            <w:tcW w:type="dxa" w:w="2340"/>
          </w:tcPr>
          <w:p>
            <w:pPr>
              <w:spacing w:line="240" w:lineRule="auto"/>
            </w:pPr>
            <w:r>
              <w:rPr>
                <w:sz w:val="20"/>
              </w:rPr>
              <w:t>1.3</w:t>
            </w:r>
          </w:p>
        </w:tc>
        <w:tc>
          <w:tcPr>
            <w:tcW w:type="dxa" w:w="2340"/>
          </w:tcPr>
          <w:p>
            <w:pPr>
              <w:spacing w:line="240" w:lineRule="auto"/>
            </w:pPr>
            <w:r>
              <w:rPr>
                <w:sz w:val="20"/>
              </w:rPr>
              <w:t>Asset/Capability</w:t>
            </w:r>
          </w:p>
        </w:tc>
        <w:tc>
          <w:tcPr>
            <w:tcW w:type="dxa" w:w="2340"/>
          </w:tcPr>
          <w:p>
            <w:pPr>
              <w:spacing w:line="240" w:lineRule="auto"/>
            </w:pPr>
            <w:r>
              <w:rPr>
                <w:sz w:val="20"/>
              </w:rPr>
              <w:t>Gupta et al. (2023)</w:t>
            </w:r>
          </w:p>
        </w:tc>
        <w:tc>
          <w:tcPr>
            <w:tcW w:type="dxa" w:w="2340"/>
          </w:tcPr>
          <w:p>
            <w:pPr>
              <w:spacing w:line="240" w:lineRule="auto"/>
            </w:pPr>
            <w:r>
              <w:rPr>
                <w:sz w:val="20"/>
              </w:rPr>
              <w:t>Conceptual</w:t>
            </w:r>
          </w:p>
        </w:tc>
      </w:tr>
      <w:tr>
        <w:tc>
          <w:tcPr>
            <w:tcW w:type="dxa" w:w="2340"/>
          </w:tcPr>
          <w:p>
            <w:pPr>
              <w:spacing w:line="240" w:lineRule="auto"/>
            </w:pPr>
            <w:r>
              <w:rPr>
                <w:sz w:val="20"/>
              </w:rPr>
              <w:t>1.4</w:t>
            </w:r>
          </w:p>
        </w:tc>
        <w:tc>
          <w:tcPr>
            <w:tcW w:type="dxa" w:w="2340"/>
          </w:tcPr>
          <w:p>
            <w:pPr>
              <w:spacing w:line="240" w:lineRule="auto"/>
            </w:pPr>
            <w:r>
              <w:rPr>
                <w:sz w:val="20"/>
              </w:rPr>
              <w:t>Asset/Capability</w:t>
            </w:r>
          </w:p>
        </w:tc>
        <w:tc>
          <w:tcPr>
            <w:tcW w:type="dxa" w:w="2340"/>
          </w:tcPr>
          <w:p>
            <w:pPr>
              <w:spacing w:line="240" w:lineRule="auto"/>
            </w:pPr>
            <w:r>
              <w:rPr>
                <w:sz w:val="20"/>
              </w:rPr>
              <w:t>Bilbao-Ubillos et al. (2024)</w:t>
            </w:r>
          </w:p>
        </w:tc>
        <w:tc>
          <w:tcPr>
            <w:tcW w:type="dxa" w:w="2340"/>
          </w:tcPr>
          <w:p>
            <w:pPr>
              <w:spacing w:line="240" w:lineRule="auto"/>
            </w:pPr>
            <w:r>
              <w:rPr>
                <w:sz w:val="20"/>
              </w:rPr>
              <w:t>Review</w:t>
            </w:r>
          </w:p>
        </w:tc>
      </w:tr>
      <w:tr>
        <w:tc>
          <w:tcPr>
            <w:tcW w:type="dxa" w:w="2340"/>
          </w:tcPr>
          <w:p>
            <w:pPr>
              <w:spacing w:line="240" w:lineRule="auto"/>
            </w:pPr>
            <w:r>
              <w:rPr>
                <w:sz w:val="20"/>
              </w:rPr>
              <w:t>1.4</w:t>
            </w:r>
          </w:p>
        </w:tc>
        <w:tc>
          <w:tcPr>
            <w:tcW w:type="dxa" w:w="2340"/>
          </w:tcPr>
          <w:p>
            <w:pPr>
              <w:spacing w:line="240" w:lineRule="auto"/>
            </w:pPr>
            <w:r>
              <w:rPr>
                <w:sz w:val="20"/>
              </w:rPr>
              <w:t>Asset/Capability</w:t>
            </w:r>
          </w:p>
        </w:tc>
        <w:tc>
          <w:tcPr>
            <w:tcW w:type="dxa" w:w="2340"/>
          </w:tcPr>
          <w:p>
            <w:pPr>
              <w:spacing w:line="240" w:lineRule="auto"/>
            </w:pPr>
            <w:r>
              <w:rPr>
                <w:sz w:val="20"/>
              </w:rPr>
              <w:t>D'Ambrosio &amp; Lavoratori (2025)</w:t>
            </w:r>
          </w:p>
        </w:tc>
        <w:tc>
          <w:tcPr>
            <w:tcW w:type="dxa" w:w="2340"/>
          </w:tcPr>
          <w:p>
            <w:pPr>
              <w:spacing w:line="240" w:lineRule="auto"/>
            </w:pPr>
            <w:r>
              <w:rPr>
                <w:sz w:val="20"/>
              </w:rPr>
              <w:t>Conceptual (core argument)</w:t>
            </w:r>
          </w:p>
        </w:tc>
      </w:tr>
      <w:tr>
        <w:tc>
          <w:tcPr>
            <w:tcW w:type="dxa" w:w="2340"/>
          </w:tcPr>
          <w:p>
            <w:pPr>
              <w:spacing w:line="240" w:lineRule="auto"/>
            </w:pPr>
            <w:r>
              <w:rPr>
                <w:sz w:val="20"/>
              </w:rPr>
              <w:t>1.5</w:t>
            </w:r>
          </w:p>
        </w:tc>
        <w:tc>
          <w:tcPr>
            <w:tcW w:type="dxa" w:w="2340"/>
          </w:tcPr>
          <w:p>
            <w:pPr>
              <w:spacing w:line="240" w:lineRule="auto"/>
            </w:pPr>
            <w:r>
              <w:rPr>
                <w:sz w:val="20"/>
              </w:rPr>
              <w:t>Asset/Capability</w:t>
            </w:r>
          </w:p>
        </w:tc>
        <w:tc>
          <w:tcPr>
            <w:tcW w:type="dxa" w:w="2340"/>
          </w:tcPr>
          <w:p>
            <w:pPr>
              <w:spacing w:line="240" w:lineRule="auto"/>
            </w:pPr>
            <w:r>
              <w:rPr>
                <w:sz w:val="20"/>
              </w:rPr>
              <w:t>Pegoraro et al. (2022)</w:t>
            </w:r>
          </w:p>
        </w:tc>
        <w:tc>
          <w:tcPr>
            <w:tcW w:type="dxa" w:w="2340"/>
          </w:tcPr>
          <w:p>
            <w:pPr>
              <w:spacing w:line="240" w:lineRule="auto"/>
            </w:pPr>
            <w:r>
              <w:rPr>
                <w:sz w:val="20"/>
              </w:rPr>
              <w:t>Direct empirical (single case, China→UK)</w:t>
            </w:r>
          </w:p>
        </w:tc>
      </w:tr>
      <w:tr>
        <w:tc>
          <w:tcPr>
            <w:tcW w:type="dxa" w:w="2340"/>
          </w:tcPr>
          <w:p>
            <w:pPr>
              <w:spacing w:line="240" w:lineRule="auto"/>
            </w:pPr>
            <w:r>
              <w:rPr>
                <w:sz w:val="20"/>
              </w:rPr>
              <w:t>1.5</w:t>
            </w:r>
          </w:p>
        </w:tc>
        <w:tc>
          <w:tcPr>
            <w:tcW w:type="dxa" w:w="2340"/>
          </w:tcPr>
          <w:p>
            <w:pPr>
              <w:spacing w:line="240" w:lineRule="auto"/>
            </w:pPr>
            <w:r>
              <w:rPr>
                <w:sz w:val="20"/>
              </w:rPr>
              <w:t>Asset/Capability</w:t>
            </w:r>
          </w:p>
        </w:tc>
        <w:tc>
          <w:tcPr>
            <w:tcW w:type="dxa" w:w="2340"/>
          </w:tcPr>
          <w:p>
            <w:pPr>
              <w:spacing w:line="240" w:lineRule="auto"/>
            </w:pPr>
            <w:r>
              <w:rPr>
                <w:sz w:val="20"/>
              </w:rPr>
              <w:t>Bilbao-Ubillos et al. (2024)</w:t>
            </w:r>
          </w:p>
        </w:tc>
        <w:tc>
          <w:tcPr>
            <w:tcW w:type="dxa" w:w="2340"/>
          </w:tcPr>
          <w:p>
            <w:pPr>
              <w:spacing w:line="240" w:lineRule="auto"/>
            </w:pPr>
            <w:r>
              <w:rPr>
                <w:sz w:val="20"/>
              </w:rPr>
              <w:t>Review</w:t>
            </w:r>
          </w:p>
        </w:tc>
      </w:tr>
      <w:tr>
        <w:tc>
          <w:tcPr>
            <w:tcW w:type="dxa" w:w="2340"/>
          </w:tcPr>
          <w:p>
            <w:pPr>
              <w:spacing w:line="240" w:lineRule="auto"/>
            </w:pPr>
            <w:r>
              <w:rPr>
                <w:sz w:val="20"/>
              </w:rPr>
              <w:t>2.1</w:t>
            </w:r>
          </w:p>
        </w:tc>
        <w:tc>
          <w:tcPr>
            <w:tcW w:type="dxa" w:w="2340"/>
          </w:tcPr>
          <w:p>
            <w:pPr>
              <w:spacing w:line="240" w:lineRule="auto"/>
            </w:pPr>
            <w:r>
              <w:rPr>
                <w:sz w:val="20"/>
              </w:rPr>
              <w:t>Cost/Operational</w:t>
            </w:r>
          </w:p>
        </w:tc>
        <w:tc>
          <w:tcPr>
            <w:tcW w:type="dxa" w:w="2340"/>
          </w:tcPr>
          <w:p>
            <w:pPr>
              <w:spacing w:line="240" w:lineRule="auto"/>
            </w:pPr>
            <w:r>
              <w:rPr>
                <w:sz w:val="20"/>
              </w:rPr>
              <w:t>Mirzaei et al. (2021)</w:t>
            </w:r>
          </w:p>
        </w:tc>
        <w:tc>
          <w:tcPr>
            <w:tcW w:type="dxa" w:w="2340"/>
          </w:tcPr>
          <w:p>
            <w:pPr>
              <w:spacing w:line="240" w:lineRule="auto"/>
            </w:pPr>
            <w:r>
              <w:rPr>
                <w:sz w:val="20"/>
              </w:rPr>
              <w:t>Direct empirical (general Swedish)</w:t>
            </w:r>
          </w:p>
        </w:tc>
      </w:tr>
      <w:tr>
        <w:tc>
          <w:tcPr>
            <w:tcW w:type="dxa" w:w="2340"/>
          </w:tcPr>
          <w:p>
            <w:pPr>
              <w:spacing w:line="240" w:lineRule="auto"/>
            </w:pPr>
            <w:r>
              <w:rPr>
                <w:sz w:val="20"/>
              </w:rPr>
              <w:t>2.1</w:t>
            </w:r>
          </w:p>
        </w:tc>
        <w:tc>
          <w:tcPr>
            <w:tcW w:type="dxa" w:w="2340"/>
          </w:tcPr>
          <w:p>
            <w:pPr>
              <w:spacing w:line="240" w:lineRule="auto"/>
            </w:pPr>
            <w:r>
              <w:rPr>
                <w:sz w:val="20"/>
              </w:rPr>
              <w:t>Cost/Operational</w:t>
            </w:r>
          </w:p>
        </w:tc>
        <w:tc>
          <w:tcPr>
            <w:tcW w:type="dxa" w:w="2340"/>
          </w:tcPr>
          <w:p>
            <w:pPr>
              <w:spacing w:line="240" w:lineRule="auto"/>
            </w:pPr>
            <w:r>
              <w:rPr>
                <w:sz w:val="20"/>
              </w:rPr>
              <w:t>Di Mauro et al. (2018)</w:t>
            </w:r>
          </w:p>
        </w:tc>
        <w:tc>
          <w:tcPr>
            <w:tcW w:type="dxa" w:w="2340"/>
          </w:tcPr>
          <w:p>
            <w:pPr>
              <w:spacing w:line="240" w:lineRule="auto"/>
            </w:pPr>
            <w:r>
              <w:rPr>
                <w:sz w:val="20"/>
              </w:rPr>
              <w:t>Direct empirical (limited; partial China attribution)</w:t>
            </w:r>
          </w:p>
        </w:tc>
      </w:tr>
      <w:tr>
        <w:tc>
          <w:tcPr>
            <w:tcW w:type="dxa" w:w="2340"/>
          </w:tcPr>
          <w:p>
            <w:pPr>
              <w:spacing w:line="240" w:lineRule="auto"/>
            </w:pPr>
            <w:r>
              <w:rPr>
                <w:sz w:val="20"/>
              </w:rPr>
              <w:t>2.1</w:t>
            </w:r>
          </w:p>
        </w:tc>
        <w:tc>
          <w:tcPr>
            <w:tcW w:type="dxa" w:w="2340"/>
          </w:tcPr>
          <w:p>
            <w:pPr>
              <w:spacing w:line="240" w:lineRule="auto"/>
            </w:pPr>
            <w:r>
              <w:rPr>
                <w:sz w:val="20"/>
              </w:rPr>
              <w:t>Cost/Operational</w:t>
            </w:r>
          </w:p>
        </w:tc>
        <w:tc>
          <w:tcPr>
            <w:tcW w:type="dxa" w:w="2340"/>
          </w:tcPr>
          <w:p>
            <w:pPr>
              <w:spacing w:line="240" w:lineRule="auto"/>
            </w:pPr>
            <w:r>
              <w:rPr>
                <w:sz w:val="20"/>
              </w:rPr>
              <w:t>Wiesmann et al. (2017)</w:t>
            </w:r>
          </w:p>
        </w:tc>
        <w:tc>
          <w:tcPr>
            <w:tcW w:type="dxa" w:w="2340"/>
          </w:tcPr>
          <w:p>
            <w:pPr>
              <w:spacing w:line="240" w:lineRule="auto"/>
            </w:pPr>
            <w:r>
              <w:rPr>
                <w:sz w:val="20"/>
              </w:rPr>
              <w:t>Review</w:t>
            </w:r>
          </w:p>
        </w:tc>
      </w:tr>
      <w:tr>
        <w:tc>
          <w:tcPr>
            <w:tcW w:type="dxa" w:w="2340"/>
          </w:tcPr>
          <w:p>
            <w:pPr>
              <w:spacing w:line="240" w:lineRule="auto"/>
            </w:pPr>
            <w:r>
              <w:rPr>
                <w:sz w:val="20"/>
              </w:rPr>
              <w:t>2.1</w:t>
            </w:r>
          </w:p>
        </w:tc>
        <w:tc>
          <w:tcPr>
            <w:tcW w:type="dxa" w:w="2340"/>
          </w:tcPr>
          <w:p>
            <w:pPr>
              <w:spacing w:line="240" w:lineRule="auto"/>
            </w:pPr>
            <w:r>
              <w:rPr>
                <w:sz w:val="20"/>
              </w:rPr>
              <w:t>Cost/Operational</w:t>
            </w:r>
          </w:p>
        </w:tc>
        <w:tc>
          <w:tcPr>
            <w:tcW w:type="dxa" w:w="2340"/>
          </w:tcPr>
          <w:p>
            <w:pPr>
              <w:spacing w:line="240" w:lineRule="auto"/>
            </w:pPr>
            <w:r>
              <w:rPr>
                <w:sz w:val="20"/>
              </w:rPr>
              <w:t>Ocicka (2016)</w:t>
            </w:r>
          </w:p>
        </w:tc>
        <w:tc>
          <w:tcPr>
            <w:tcW w:type="dxa" w:w="2340"/>
          </w:tcPr>
          <w:p>
            <w:pPr>
              <w:spacing w:line="240" w:lineRule="auto"/>
            </w:pPr>
            <w:r>
              <w:rPr>
                <w:sz w:val="20"/>
              </w:rPr>
              <w:t>Review</w:t>
            </w:r>
          </w:p>
        </w:tc>
      </w:tr>
      <w:tr>
        <w:tc>
          <w:tcPr>
            <w:tcW w:type="dxa" w:w="2340"/>
          </w:tcPr>
          <w:p>
            <w:pPr>
              <w:spacing w:line="240" w:lineRule="auto"/>
            </w:pPr>
            <w:r>
              <w:rPr>
                <w:sz w:val="20"/>
              </w:rPr>
              <w:t>2.1</w:t>
            </w:r>
          </w:p>
        </w:tc>
        <w:tc>
          <w:tcPr>
            <w:tcW w:type="dxa" w:w="2340"/>
          </w:tcPr>
          <w:p>
            <w:pPr>
              <w:spacing w:line="240" w:lineRule="auto"/>
            </w:pPr>
            <w:r>
              <w:rPr>
                <w:sz w:val="20"/>
              </w:rPr>
              <w:t>Cost/Operational</w:t>
            </w:r>
          </w:p>
        </w:tc>
        <w:tc>
          <w:tcPr>
            <w:tcW w:type="dxa" w:w="2340"/>
          </w:tcPr>
          <w:p>
            <w:pPr>
              <w:spacing w:line="240" w:lineRule="auto"/>
            </w:pPr>
            <w:r>
              <w:rPr>
                <w:sz w:val="20"/>
              </w:rPr>
              <w:t>Gupta et al. (2023)</w:t>
            </w:r>
          </w:p>
        </w:tc>
        <w:tc>
          <w:tcPr>
            <w:tcW w:type="dxa" w:w="2340"/>
          </w:tcPr>
          <w:p>
            <w:pPr>
              <w:spacing w:line="240" w:lineRule="auto"/>
            </w:pPr>
            <w:r>
              <w:rPr>
                <w:sz w:val="20"/>
              </w:rPr>
              <w:t>Conceptual</w:t>
            </w:r>
          </w:p>
        </w:tc>
      </w:tr>
      <w:tr>
        <w:tc>
          <w:tcPr>
            <w:tcW w:type="dxa" w:w="2340"/>
          </w:tcPr>
          <w:p>
            <w:pPr>
              <w:spacing w:line="240" w:lineRule="auto"/>
            </w:pPr>
            <w:r>
              <w:rPr>
                <w:sz w:val="20"/>
              </w:rPr>
              <w:t>2.2</w:t>
            </w:r>
          </w:p>
        </w:tc>
        <w:tc>
          <w:tcPr>
            <w:tcW w:type="dxa" w:w="2340"/>
          </w:tcPr>
          <w:p>
            <w:pPr>
              <w:spacing w:line="240" w:lineRule="auto"/>
            </w:pPr>
            <w:r>
              <w:rPr>
                <w:sz w:val="20"/>
              </w:rPr>
              <w:t>Cost/Operational</w:t>
            </w:r>
          </w:p>
        </w:tc>
        <w:tc>
          <w:tcPr>
            <w:tcW w:type="dxa" w:w="2340"/>
          </w:tcPr>
          <w:p>
            <w:pPr>
              <w:spacing w:line="240" w:lineRule="auto"/>
            </w:pPr>
            <w:r>
              <w:rPr>
                <w:sz w:val="20"/>
              </w:rPr>
              <w:t>Li et al. (2025)</w:t>
            </w:r>
          </w:p>
        </w:tc>
        <w:tc>
          <w:tcPr>
            <w:tcW w:type="dxa" w:w="2340"/>
          </w:tcPr>
          <w:p>
            <w:pPr>
              <w:spacing w:line="240" w:lineRule="auto"/>
            </w:pPr>
            <w:r>
              <w:rPr>
                <w:sz w:val="20"/>
              </w:rPr>
              <w:t>Direct empirical (only where actual cost difficulties occurred)</w:t>
            </w:r>
          </w:p>
        </w:tc>
      </w:tr>
      <w:tr>
        <w:tc>
          <w:tcPr>
            <w:tcW w:type="dxa" w:w="2340"/>
          </w:tcPr>
          <w:p>
            <w:pPr>
              <w:spacing w:line="240" w:lineRule="auto"/>
            </w:pPr>
            <w:r>
              <w:rPr>
                <w:sz w:val="20"/>
              </w:rPr>
              <w:t>2.2</w:t>
            </w:r>
          </w:p>
        </w:tc>
        <w:tc>
          <w:tcPr>
            <w:tcW w:type="dxa" w:w="2340"/>
          </w:tcPr>
          <w:p>
            <w:pPr>
              <w:spacing w:line="240" w:lineRule="auto"/>
            </w:pPr>
            <w:r>
              <w:rPr>
                <w:sz w:val="20"/>
              </w:rPr>
              <w:t>Cost/Operational</w:t>
            </w:r>
          </w:p>
        </w:tc>
        <w:tc>
          <w:tcPr>
            <w:tcW w:type="dxa" w:w="2340"/>
          </w:tcPr>
          <w:p>
            <w:pPr>
              <w:spacing w:line="240" w:lineRule="auto"/>
            </w:pPr>
            <w:r>
              <w:rPr>
                <w:sz w:val="20"/>
              </w:rPr>
              <w:t>Espíndola et al. (2023)</w:t>
            </w:r>
          </w:p>
        </w:tc>
        <w:tc>
          <w:tcPr>
            <w:tcW w:type="dxa" w:w="2340"/>
          </w:tcPr>
          <w:p>
            <w:pPr>
              <w:spacing w:line="240" w:lineRule="auto"/>
            </w:pPr>
            <w:r>
              <w:rPr>
                <w:sz w:val="20"/>
              </w:rPr>
              <w:t>Review</w:t>
            </w:r>
          </w:p>
        </w:tc>
      </w:tr>
      <w:tr>
        <w:tc>
          <w:tcPr>
            <w:tcW w:type="dxa" w:w="2340"/>
          </w:tcPr>
          <w:p>
            <w:pPr>
              <w:spacing w:line="240" w:lineRule="auto"/>
            </w:pPr>
            <w:r>
              <w:rPr>
                <w:sz w:val="20"/>
              </w:rPr>
              <w:t>2.2</w:t>
            </w:r>
          </w:p>
        </w:tc>
        <w:tc>
          <w:tcPr>
            <w:tcW w:type="dxa" w:w="2340"/>
          </w:tcPr>
          <w:p>
            <w:pPr>
              <w:spacing w:line="240" w:lineRule="auto"/>
            </w:pPr>
            <w:r>
              <w:rPr>
                <w:sz w:val="20"/>
              </w:rPr>
              <w:t>Cost/Operational</w:t>
            </w:r>
          </w:p>
        </w:tc>
        <w:tc>
          <w:tcPr>
            <w:tcW w:type="dxa" w:w="2340"/>
          </w:tcPr>
          <w:p>
            <w:pPr>
              <w:spacing w:line="240" w:lineRule="auto"/>
            </w:pPr>
            <w:r>
              <w:rPr>
                <w:sz w:val="20"/>
              </w:rPr>
              <w:t>D'Ambrosio &amp; Lavoratori (2025)</w:t>
            </w:r>
          </w:p>
        </w:tc>
        <w:tc>
          <w:tcPr>
            <w:tcW w:type="dxa" w:w="2340"/>
          </w:tcPr>
          <w:p>
            <w:pPr>
              <w:spacing w:line="240" w:lineRule="auto"/>
            </w:pPr>
            <w:r>
              <w:rPr>
                <w:sz w:val="20"/>
              </w:rPr>
              <w:t>Conceptual</w:t>
            </w:r>
          </w:p>
        </w:tc>
      </w:tr>
      <w:tr>
        <w:tc>
          <w:tcPr>
            <w:tcW w:type="dxa" w:w="2340"/>
          </w:tcPr>
          <w:p>
            <w:pPr>
              <w:spacing w:line="240" w:lineRule="auto"/>
            </w:pPr>
            <w:r>
              <w:rPr>
                <w:sz w:val="20"/>
              </w:rPr>
              <w:t>2.2</w:t>
            </w:r>
          </w:p>
        </w:tc>
        <w:tc>
          <w:tcPr>
            <w:tcW w:type="dxa" w:w="2340"/>
          </w:tcPr>
          <w:p>
            <w:pPr>
              <w:spacing w:line="240" w:lineRule="auto"/>
            </w:pPr>
            <w:r>
              <w:rPr>
                <w:sz w:val="20"/>
              </w:rPr>
              <w:t>Cost/Operational</w:t>
            </w:r>
          </w:p>
        </w:tc>
        <w:tc>
          <w:tcPr>
            <w:tcW w:type="dxa" w:w="2340"/>
          </w:tcPr>
          <w:p>
            <w:pPr>
              <w:spacing w:line="240" w:lineRule="auto"/>
            </w:pPr>
            <w:r>
              <w:rPr>
                <w:sz w:val="20"/>
              </w:rPr>
              <w:t>Gupta et al. (2023)</w:t>
            </w:r>
          </w:p>
        </w:tc>
        <w:tc>
          <w:tcPr>
            <w:tcW w:type="dxa" w:w="2340"/>
          </w:tcPr>
          <w:p>
            <w:pPr>
              <w:spacing w:line="240" w:lineRule="auto"/>
            </w:pPr>
            <w:r>
              <w:rPr>
                <w:sz w:val="20"/>
              </w:rPr>
              <w:t>Conceptual</w:t>
            </w:r>
          </w:p>
        </w:tc>
      </w:tr>
      <w:tr>
        <w:tc>
          <w:tcPr>
            <w:tcW w:type="dxa" w:w="2340"/>
          </w:tcPr>
          <w:p>
            <w:pPr>
              <w:spacing w:line="240" w:lineRule="auto"/>
            </w:pPr>
            <w:r>
              <w:rPr>
                <w:sz w:val="20"/>
              </w:rPr>
              <w:t>2.3</w:t>
            </w:r>
          </w:p>
        </w:tc>
        <w:tc>
          <w:tcPr>
            <w:tcW w:type="dxa" w:w="2340"/>
          </w:tcPr>
          <w:p>
            <w:pPr>
              <w:spacing w:line="240" w:lineRule="auto"/>
            </w:pPr>
            <w:r>
              <w:rPr>
                <w:sz w:val="20"/>
              </w:rPr>
              <w:t>Cost/Operational</w:t>
            </w:r>
          </w:p>
        </w:tc>
        <w:tc>
          <w:tcPr>
            <w:tcW w:type="dxa" w:w="2340"/>
          </w:tcPr>
          <w:p>
            <w:pPr>
              <w:spacing w:line="240" w:lineRule="auto"/>
            </w:pPr>
            <w:r>
              <w:rPr>
                <w:sz w:val="20"/>
              </w:rPr>
              <w:t>Mirzaei et al. (2021)</w:t>
            </w:r>
          </w:p>
        </w:tc>
        <w:tc>
          <w:tcPr>
            <w:tcW w:type="dxa" w:w="2340"/>
          </w:tcPr>
          <w:p>
            <w:pPr>
              <w:spacing w:line="240" w:lineRule="auto"/>
            </w:pPr>
            <w:r>
              <w:rPr>
                <w:sz w:val="20"/>
              </w:rPr>
              <w:t>Direct empirical (labour cost named by all five firms)</w:t>
            </w:r>
          </w:p>
        </w:tc>
      </w:tr>
      <w:tr>
        <w:tc>
          <w:tcPr>
            <w:tcW w:type="dxa" w:w="2340"/>
          </w:tcPr>
          <w:p>
            <w:pPr>
              <w:spacing w:line="240" w:lineRule="auto"/>
            </w:pPr>
            <w:r>
              <w:rPr>
                <w:sz w:val="20"/>
              </w:rPr>
              <w:t>2.3</w:t>
            </w:r>
          </w:p>
        </w:tc>
        <w:tc>
          <w:tcPr>
            <w:tcW w:type="dxa" w:w="2340"/>
          </w:tcPr>
          <w:p>
            <w:pPr>
              <w:spacing w:line="240" w:lineRule="auto"/>
            </w:pPr>
            <w:r>
              <w:rPr>
                <w:sz w:val="20"/>
              </w:rPr>
              <w:t>Cost/Operational</w:t>
            </w:r>
          </w:p>
        </w:tc>
        <w:tc>
          <w:tcPr>
            <w:tcW w:type="dxa" w:w="2340"/>
          </w:tcPr>
          <w:p>
            <w:pPr>
              <w:spacing w:line="240" w:lineRule="auto"/>
            </w:pPr>
            <w:r>
              <w:rPr>
                <w:sz w:val="20"/>
              </w:rPr>
              <w:t>Li et al. (2025)</w:t>
            </w:r>
          </w:p>
        </w:tc>
        <w:tc>
          <w:tcPr>
            <w:tcW w:type="dxa" w:w="2340"/>
          </w:tcPr>
          <w:p>
            <w:pPr>
              <w:spacing w:line="240" w:lineRule="auto"/>
            </w:pPr>
            <w:r>
              <w:rPr>
                <w:sz w:val="20"/>
              </w:rPr>
              <w:t>Direct empirical (general Nordic/Swedish)</w:t>
            </w:r>
          </w:p>
        </w:tc>
      </w:tr>
      <w:tr>
        <w:tc>
          <w:tcPr>
            <w:tcW w:type="dxa" w:w="2340"/>
          </w:tcPr>
          <w:p>
            <w:pPr>
              <w:spacing w:line="240" w:lineRule="auto"/>
            </w:pPr>
            <w:r>
              <w:rPr>
                <w:sz w:val="20"/>
              </w:rPr>
              <w:t>2.3</w:t>
            </w:r>
          </w:p>
        </w:tc>
        <w:tc>
          <w:tcPr>
            <w:tcW w:type="dxa" w:w="2340"/>
          </w:tcPr>
          <w:p>
            <w:pPr>
              <w:spacing w:line="240" w:lineRule="auto"/>
            </w:pPr>
            <w:r>
              <w:rPr>
                <w:sz w:val="20"/>
              </w:rPr>
              <w:t>Cost/Operational</w:t>
            </w:r>
          </w:p>
        </w:tc>
        <w:tc>
          <w:tcPr>
            <w:tcW w:type="dxa" w:w="2340"/>
          </w:tcPr>
          <w:p>
            <w:pPr>
              <w:spacing w:line="240" w:lineRule="auto"/>
            </w:pPr>
            <w:r>
              <w:rPr>
                <w:sz w:val="20"/>
              </w:rPr>
              <w:t>D'Ambrosio &amp; Lavoratori (2025)</w:t>
            </w:r>
          </w:p>
        </w:tc>
        <w:tc>
          <w:tcPr>
            <w:tcW w:type="dxa" w:w="2340"/>
          </w:tcPr>
          <w:p>
            <w:pPr>
              <w:spacing w:line="240" w:lineRule="auto"/>
            </w:pPr>
            <w:r>
              <w:rPr>
                <w:sz w:val="20"/>
              </w:rPr>
              <w:t>Conceptual</w:t>
            </w:r>
          </w:p>
        </w:tc>
      </w:tr>
      <w:tr>
        <w:tc>
          <w:tcPr>
            <w:tcW w:type="dxa" w:w="2340"/>
          </w:tcPr>
          <w:p>
            <w:pPr>
              <w:spacing w:line="240" w:lineRule="auto"/>
            </w:pPr>
            <w:r>
              <w:rPr>
                <w:sz w:val="20"/>
              </w:rPr>
              <w:t>2.4</w:t>
            </w:r>
          </w:p>
        </w:tc>
        <w:tc>
          <w:tcPr>
            <w:tcW w:type="dxa" w:w="2340"/>
          </w:tcPr>
          <w:p>
            <w:pPr>
              <w:spacing w:line="240" w:lineRule="auto"/>
            </w:pPr>
            <w:r>
              <w:rPr>
                <w:sz w:val="20"/>
              </w:rPr>
              <w:t>Cost/Operational</w:t>
            </w:r>
          </w:p>
        </w:tc>
        <w:tc>
          <w:tcPr>
            <w:tcW w:type="dxa" w:w="2340"/>
          </w:tcPr>
          <w:p>
            <w:pPr>
              <w:spacing w:line="240" w:lineRule="auto"/>
            </w:pPr>
            <w:r>
              <w:rPr>
                <w:sz w:val="20"/>
              </w:rPr>
              <w:t>Pedroletti (2025)</w:t>
            </w:r>
          </w:p>
        </w:tc>
        <w:tc>
          <w:tcPr>
            <w:tcW w:type="dxa" w:w="2340"/>
          </w:tcPr>
          <w:p>
            <w:pPr>
              <w:spacing w:line="240" w:lineRule="auto"/>
            </w:pPr>
            <w:r>
              <w:rPr>
                <w:sz w:val="20"/>
              </w:rPr>
              <w:t>Direct empirical (single case, China→Italy)</w:t>
            </w:r>
          </w:p>
        </w:tc>
      </w:tr>
      <w:tr>
        <w:tc>
          <w:tcPr>
            <w:tcW w:type="dxa" w:w="2340"/>
          </w:tcPr>
          <w:p>
            <w:pPr>
              <w:spacing w:line="240" w:lineRule="auto"/>
            </w:pPr>
            <w:r>
              <w:rPr>
                <w:sz w:val="20"/>
              </w:rPr>
              <w:t>2.5</w:t>
            </w:r>
          </w:p>
        </w:tc>
        <w:tc>
          <w:tcPr>
            <w:tcW w:type="dxa" w:w="2340"/>
          </w:tcPr>
          <w:p>
            <w:pPr>
              <w:spacing w:line="240" w:lineRule="auto"/>
            </w:pPr>
            <w:r>
              <w:rPr>
                <w:sz w:val="20"/>
              </w:rPr>
              <w:t>Cost/Operational</w:t>
            </w:r>
          </w:p>
        </w:tc>
        <w:tc>
          <w:tcPr>
            <w:tcW w:type="dxa" w:w="2340"/>
          </w:tcPr>
          <w:p>
            <w:pPr>
              <w:spacing w:line="240" w:lineRule="auto"/>
            </w:pPr>
            <w:r>
              <w:rPr>
                <w:sz w:val="20"/>
              </w:rPr>
              <w:t>Boffelli et al. (2021)</w:t>
            </w:r>
          </w:p>
        </w:tc>
        <w:tc>
          <w:tcPr>
            <w:tcW w:type="dxa" w:w="2340"/>
          </w:tcPr>
          <w:p>
            <w:pPr>
              <w:spacing w:line="240" w:lineRule="auto"/>
            </w:pPr>
            <w:r>
              <w:rPr>
                <w:sz w:val="20"/>
              </w:rPr>
              <w:t>Direct empirical (top-rated barrier in study; partial China attribution)</w:t>
            </w:r>
          </w:p>
        </w:tc>
      </w:tr>
      <w:tr>
        <w:tc>
          <w:tcPr>
            <w:tcW w:type="dxa" w:w="2340"/>
          </w:tcPr>
          <w:p>
            <w:pPr>
              <w:spacing w:line="240" w:lineRule="auto"/>
            </w:pPr>
            <w:r>
              <w:rPr>
                <w:sz w:val="20"/>
              </w:rPr>
              <w:t>3.1</w:t>
            </w:r>
          </w:p>
        </w:tc>
        <w:tc>
          <w:tcPr>
            <w:tcW w:type="dxa" w:w="2340"/>
          </w:tcPr>
          <w:p>
            <w:pPr>
              <w:spacing w:line="240" w:lineRule="auto"/>
            </w:pPr>
            <w:r>
              <w:rPr>
                <w:sz w:val="20"/>
              </w:rPr>
              <w:t>Cultural/Organisational</w:t>
            </w:r>
          </w:p>
        </w:tc>
        <w:tc>
          <w:tcPr>
            <w:tcW w:type="dxa" w:w="2340"/>
          </w:tcPr>
          <w:p>
            <w:pPr>
              <w:spacing w:line="240" w:lineRule="auto"/>
            </w:pPr>
            <w:r>
              <w:rPr>
                <w:sz w:val="20"/>
              </w:rPr>
              <w:t>Boffelli et al. (2021)</w:t>
            </w:r>
          </w:p>
        </w:tc>
        <w:tc>
          <w:tcPr>
            <w:tcW w:type="dxa" w:w="2340"/>
          </w:tcPr>
          <w:p>
            <w:pPr>
              <w:spacing w:line="240" w:lineRule="auto"/>
            </w:pPr>
            <w:r>
              <w:rPr>
                <w:sz w:val="20"/>
              </w:rPr>
              <w:t>Direct empirical (partial China attribution)</w:t>
            </w:r>
          </w:p>
        </w:tc>
      </w:tr>
      <w:tr>
        <w:tc>
          <w:tcPr>
            <w:tcW w:type="dxa" w:w="2340"/>
          </w:tcPr>
          <w:p>
            <w:pPr>
              <w:spacing w:line="240" w:lineRule="auto"/>
            </w:pPr>
            <w:r>
              <w:rPr>
                <w:sz w:val="20"/>
              </w:rPr>
              <w:t>3.1</w:t>
            </w:r>
          </w:p>
        </w:tc>
        <w:tc>
          <w:tcPr>
            <w:tcW w:type="dxa" w:w="2340"/>
          </w:tcPr>
          <w:p>
            <w:pPr>
              <w:spacing w:line="240" w:lineRule="auto"/>
            </w:pPr>
            <w:r>
              <w:rPr>
                <w:sz w:val="20"/>
              </w:rPr>
              <w:t>Cultural/Organisational</w:t>
            </w:r>
          </w:p>
        </w:tc>
        <w:tc>
          <w:tcPr>
            <w:tcW w:type="dxa" w:w="2340"/>
          </w:tcPr>
          <w:p>
            <w:pPr>
              <w:spacing w:line="240" w:lineRule="auto"/>
            </w:pPr>
            <w:r>
              <w:rPr>
                <w:sz w:val="20"/>
              </w:rPr>
              <w:t>Wiesmann et al. (2017)</w:t>
            </w:r>
          </w:p>
        </w:tc>
        <w:tc>
          <w:tcPr>
            <w:tcW w:type="dxa" w:w="2340"/>
          </w:tcPr>
          <w:p>
            <w:pPr>
              <w:spacing w:line="240" w:lineRule="auto"/>
            </w:pPr>
            <w:r>
              <w:rPr>
                <w:sz w:val="20"/>
              </w:rPr>
              <w:t>Review</w:t>
            </w:r>
          </w:p>
        </w:tc>
      </w:tr>
      <w:tr>
        <w:tc>
          <w:tcPr>
            <w:tcW w:type="dxa" w:w="2340"/>
          </w:tcPr>
          <w:p>
            <w:pPr>
              <w:spacing w:line="240" w:lineRule="auto"/>
            </w:pPr>
            <w:r>
              <w:rPr>
                <w:sz w:val="20"/>
              </w:rPr>
              <w:t>3.1</w:t>
            </w:r>
          </w:p>
        </w:tc>
        <w:tc>
          <w:tcPr>
            <w:tcW w:type="dxa" w:w="2340"/>
          </w:tcPr>
          <w:p>
            <w:pPr>
              <w:spacing w:line="240" w:lineRule="auto"/>
            </w:pPr>
            <w:r>
              <w:rPr>
                <w:sz w:val="20"/>
              </w:rPr>
              <w:t>Cultural/Organisational</w:t>
            </w:r>
          </w:p>
        </w:tc>
        <w:tc>
          <w:tcPr>
            <w:tcW w:type="dxa" w:w="2340"/>
          </w:tcPr>
          <w:p>
            <w:pPr>
              <w:spacing w:line="240" w:lineRule="auto"/>
            </w:pPr>
            <w:r>
              <w:rPr>
                <w:sz w:val="20"/>
              </w:rPr>
              <w:t>D'Ambrosio &amp; Lavoratori (2025)</w:t>
            </w:r>
          </w:p>
        </w:tc>
        <w:tc>
          <w:tcPr>
            <w:tcW w:type="dxa" w:w="2340"/>
          </w:tcPr>
          <w:p>
            <w:pPr>
              <w:spacing w:line="240" w:lineRule="auto"/>
            </w:pPr>
            <w:r>
              <w:rPr>
                <w:sz w:val="20"/>
              </w:rPr>
              <w:t>Conceptual</w:t>
            </w:r>
          </w:p>
        </w:tc>
      </w:tr>
      <w:tr>
        <w:tc>
          <w:tcPr>
            <w:tcW w:type="dxa" w:w="2340"/>
          </w:tcPr>
          <w:p>
            <w:pPr>
              <w:spacing w:line="240" w:lineRule="auto"/>
            </w:pPr>
            <w:r>
              <w:rPr>
                <w:sz w:val="20"/>
              </w:rPr>
              <w:t>3.2</w:t>
            </w:r>
          </w:p>
        </w:tc>
        <w:tc>
          <w:tcPr>
            <w:tcW w:type="dxa" w:w="2340"/>
          </w:tcPr>
          <w:p>
            <w:pPr>
              <w:spacing w:line="240" w:lineRule="auto"/>
            </w:pPr>
            <w:r>
              <w:rPr>
                <w:sz w:val="20"/>
              </w:rPr>
              <w:t>Cultural/Organisational</w:t>
            </w:r>
          </w:p>
        </w:tc>
        <w:tc>
          <w:tcPr>
            <w:tcW w:type="dxa" w:w="2340"/>
          </w:tcPr>
          <w:p>
            <w:pPr>
              <w:spacing w:line="240" w:lineRule="auto"/>
            </w:pPr>
            <w:r>
              <w:rPr>
                <w:sz w:val="20"/>
              </w:rPr>
              <w:t>Mirzaei et al. (2021)</w:t>
            </w:r>
          </w:p>
        </w:tc>
        <w:tc>
          <w:tcPr>
            <w:tcW w:type="dxa" w:w="2340"/>
          </w:tcPr>
          <w:p>
            <w:pPr>
              <w:spacing w:line="240" w:lineRule="auto"/>
            </w:pPr>
            <w:r>
              <w:rPr>
                <w:sz w:val="20"/>
              </w:rPr>
              <w:t>Direct empirical (general Swedish)</w:t>
            </w:r>
          </w:p>
        </w:tc>
      </w:tr>
      <w:tr>
        <w:tc>
          <w:tcPr>
            <w:tcW w:type="dxa" w:w="2340"/>
          </w:tcPr>
          <w:p>
            <w:pPr>
              <w:spacing w:line="240" w:lineRule="auto"/>
            </w:pPr>
            <w:r>
              <w:rPr>
                <w:sz w:val="20"/>
              </w:rPr>
              <w:t>3.3</w:t>
            </w:r>
          </w:p>
        </w:tc>
        <w:tc>
          <w:tcPr>
            <w:tcW w:type="dxa" w:w="2340"/>
          </w:tcPr>
          <w:p>
            <w:pPr>
              <w:spacing w:line="240" w:lineRule="auto"/>
            </w:pPr>
            <w:r>
              <w:rPr>
                <w:sz w:val="20"/>
              </w:rPr>
              <w:t>Cultural/Organisational</w:t>
            </w:r>
          </w:p>
        </w:tc>
        <w:tc>
          <w:tcPr>
            <w:tcW w:type="dxa" w:w="2340"/>
          </w:tcPr>
          <w:p>
            <w:pPr>
              <w:spacing w:line="240" w:lineRule="auto"/>
            </w:pPr>
            <w:r>
              <w:rPr>
                <w:sz w:val="20"/>
              </w:rPr>
              <w:t>Pedroletti (2025)</w:t>
            </w:r>
          </w:p>
        </w:tc>
        <w:tc>
          <w:tcPr>
            <w:tcW w:type="dxa" w:w="2340"/>
          </w:tcPr>
          <w:p>
            <w:pPr>
              <w:spacing w:line="240" w:lineRule="auto"/>
            </w:pPr>
            <w:r>
              <w:rPr>
                <w:sz w:val="20"/>
              </w:rPr>
              <w:t>Direct empirical (single case, China→Italy)</w:t>
            </w:r>
          </w:p>
        </w:tc>
      </w:tr>
      <w:tr>
        <w:tc>
          <w:tcPr>
            <w:tcW w:type="dxa" w:w="2340"/>
          </w:tcPr>
          <w:p>
            <w:pPr>
              <w:spacing w:line="240" w:lineRule="auto"/>
            </w:pPr>
            <w:r>
              <w:rPr>
                <w:sz w:val="20"/>
              </w:rPr>
              <w:t>3.4</w:t>
            </w:r>
          </w:p>
        </w:tc>
        <w:tc>
          <w:tcPr>
            <w:tcW w:type="dxa" w:w="2340"/>
          </w:tcPr>
          <w:p>
            <w:pPr>
              <w:spacing w:line="240" w:lineRule="auto"/>
            </w:pPr>
            <w:r>
              <w:rPr>
                <w:sz w:val="20"/>
              </w:rPr>
              <w:t>Cultural/Organisational</w:t>
            </w:r>
          </w:p>
        </w:tc>
        <w:tc>
          <w:tcPr>
            <w:tcW w:type="dxa" w:w="2340"/>
          </w:tcPr>
          <w:p>
            <w:pPr>
              <w:spacing w:line="240" w:lineRule="auto"/>
            </w:pPr>
            <w:r>
              <w:rPr>
                <w:sz w:val="20"/>
              </w:rPr>
              <w:t>Pedroletti &amp; Ciabuschi (2023)</w:t>
            </w:r>
          </w:p>
        </w:tc>
        <w:tc>
          <w:tcPr>
            <w:tcW w:type="dxa" w:w="2340"/>
          </w:tcPr>
          <w:p>
            <w:pPr>
              <w:spacing w:line="240" w:lineRule="auto"/>
            </w:pPr>
            <w:r>
              <w:rPr>
                <w:sz w:val="20"/>
              </w:rPr>
              <w:t>Review (reported as under-researched dimension / gap)</w:t>
            </w:r>
          </w:p>
        </w:tc>
      </w:tr>
      <w:tr>
        <w:tc>
          <w:tcPr>
            <w:tcW w:type="dxa" w:w="2340"/>
          </w:tcPr>
          <w:p>
            <w:pPr>
              <w:spacing w:line="240" w:lineRule="auto"/>
            </w:pPr>
            <w:r>
              <w:rPr>
                <w:sz w:val="20"/>
              </w:rPr>
              <w:t>3.5</w:t>
            </w:r>
          </w:p>
        </w:tc>
        <w:tc>
          <w:tcPr>
            <w:tcW w:type="dxa" w:w="2340"/>
          </w:tcPr>
          <w:p>
            <w:pPr>
              <w:spacing w:line="240" w:lineRule="auto"/>
            </w:pPr>
            <w:r>
              <w:rPr>
                <w:sz w:val="20"/>
              </w:rPr>
              <w:t>Cultural/Organisational</w:t>
            </w:r>
          </w:p>
        </w:tc>
        <w:tc>
          <w:tcPr>
            <w:tcW w:type="dxa" w:w="2340"/>
          </w:tcPr>
          <w:p>
            <w:pPr>
              <w:spacing w:line="240" w:lineRule="auto"/>
            </w:pPr>
            <w:r>
              <w:rPr>
                <w:sz w:val="20"/>
              </w:rPr>
              <w:t>Bilbao-Ubillos et al. (2024)</w:t>
            </w:r>
          </w:p>
        </w:tc>
        <w:tc>
          <w:tcPr>
            <w:tcW w:type="dxa" w:w="2340"/>
          </w:tcPr>
          <w:p>
            <w:pPr>
              <w:spacing w:line="240" w:lineRule="auto"/>
            </w:pPr>
            <w:r>
              <w:rPr>
                <w:sz w:val="20"/>
              </w:rPr>
              <w:t>Review</w:t>
            </w:r>
          </w:p>
        </w:tc>
      </w:tr>
      <w:tr>
        <w:tc>
          <w:tcPr>
            <w:tcW w:type="dxa" w:w="2340"/>
          </w:tcPr>
          <w:p>
            <w:pPr>
              <w:spacing w:line="240" w:lineRule="auto"/>
            </w:pPr>
            <w:r>
              <w:rPr>
                <w:sz w:val="20"/>
              </w:rPr>
              <w:t>3.5</w:t>
            </w:r>
          </w:p>
        </w:tc>
        <w:tc>
          <w:tcPr>
            <w:tcW w:type="dxa" w:w="2340"/>
          </w:tcPr>
          <w:p>
            <w:pPr>
              <w:spacing w:line="240" w:lineRule="auto"/>
            </w:pPr>
            <w:r>
              <w:rPr>
                <w:sz w:val="20"/>
              </w:rPr>
              <w:t>Cultural/Organisational</w:t>
            </w:r>
          </w:p>
        </w:tc>
        <w:tc>
          <w:tcPr>
            <w:tcW w:type="dxa" w:w="2340"/>
          </w:tcPr>
          <w:p>
            <w:pPr>
              <w:spacing w:line="240" w:lineRule="auto"/>
            </w:pPr>
            <w:r>
              <w:rPr>
                <w:sz w:val="20"/>
              </w:rPr>
              <w:t>Espíndola et al. (2023)</w:t>
            </w:r>
          </w:p>
        </w:tc>
        <w:tc>
          <w:tcPr>
            <w:tcW w:type="dxa" w:w="2340"/>
          </w:tcPr>
          <w:p>
            <w:pPr>
              <w:spacing w:line="240" w:lineRule="auto"/>
            </w:pPr>
            <w:r>
              <w:rPr>
                <w:sz w:val="20"/>
              </w:rPr>
              <w:t>Review</w:t>
            </w:r>
          </w:p>
        </w:tc>
      </w:tr>
      <w:tr>
        <w:tc>
          <w:tcPr>
            <w:tcW w:type="dxa" w:w="2340"/>
          </w:tcPr>
          <w:p>
            <w:pPr>
              <w:spacing w:line="240" w:lineRule="auto"/>
            </w:pPr>
            <w:r>
              <w:rPr>
                <w:sz w:val="20"/>
              </w:rPr>
              <w:t>3.5</w:t>
            </w:r>
          </w:p>
        </w:tc>
        <w:tc>
          <w:tcPr>
            <w:tcW w:type="dxa" w:w="2340"/>
          </w:tcPr>
          <w:p>
            <w:pPr>
              <w:spacing w:line="240" w:lineRule="auto"/>
            </w:pPr>
            <w:r>
              <w:rPr>
                <w:sz w:val="20"/>
              </w:rPr>
              <w:t>Cultural/Organisational</w:t>
            </w:r>
          </w:p>
        </w:tc>
        <w:tc>
          <w:tcPr>
            <w:tcW w:type="dxa" w:w="2340"/>
          </w:tcPr>
          <w:p>
            <w:pPr>
              <w:spacing w:line="240" w:lineRule="auto"/>
            </w:pPr>
            <w:r>
              <w:rPr>
                <w:sz w:val="20"/>
              </w:rPr>
              <w:t>Gupta et al. (2023)</w:t>
            </w:r>
          </w:p>
        </w:tc>
        <w:tc>
          <w:tcPr>
            <w:tcW w:type="dxa" w:w="2340"/>
          </w:tcPr>
          <w:p>
            <w:pPr>
              <w:spacing w:line="240" w:lineRule="auto"/>
            </w:pPr>
            <w:r>
              <w:rPr>
                <w:sz w:val="20"/>
              </w:rPr>
              <w:t>Conceptual</w:t>
            </w:r>
          </w:p>
        </w:tc>
      </w:tr>
      <w:tr>
        <w:tc>
          <w:tcPr>
            <w:tcW w:type="dxa" w:w="2340"/>
          </w:tcPr>
          <w:p>
            <w:pPr>
              <w:spacing w:line="240" w:lineRule="auto"/>
            </w:pPr>
            <w:r>
              <w:rPr>
                <w:sz w:val="20"/>
              </w:rPr>
              <w:t>3.5</w:t>
            </w:r>
          </w:p>
        </w:tc>
        <w:tc>
          <w:tcPr>
            <w:tcW w:type="dxa" w:w="2340"/>
          </w:tcPr>
          <w:p>
            <w:pPr>
              <w:spacing w:line="240" w:lineRule="auto"/>
            </w:pPr>
            <w:r>
              <w:rPr>
                <w:sz w:val="20"/>
              </w:rPr>
              <w:t>Cultural/Organisational</w:t>
            </w:r>
          </w:p>
        </w:tc>
        <w:tc>
          <w:tcPr>
            <w:tcW w:type="dxa" w:w="2340"/>
          </w:tcPr>
          <w:p>
            <w:pPr>
              <w:spacing w:line="240" w:lineRule="auto"/>
            </w:pPr>
            <w:r>
              <w:rPr>
                <w:sz w:val="20"/>
              </w:rPr>
              <w:t>D'Ambrosio &amp; Lavoratori (2025)</w:t>
            </w:r>
          </w:p>
        </w:tc>
        <w:tc>
          <w:tcPr>
            <w:tcW w:type="dxa" w:w="2340"/>
          </w:tcPr>
          <w:p>
            <w:pPr>
              <w:spacing w:line="240" w:lineRule="auto"/>
            </w:pPr>
            <w:r>
              <w:rPr>
                <w:sz w:val="20"/>
              </w:rPr>
              <w:t>Conceptual</w:t>
            </w:r>
          </w:p>
        </w:tc>
      </w:tr>
      <w:tr>
        <w:tc>
          <w:tcPr>
            <w:tcW w:type="dxa" w:w="2340"/>
          </w:tcPr>
          <w:p>
            <w:pPr>
              <w:spacing w:line="240" w:lineRule="auto"/>
            </w:pPr>
            <w:r>
              <w:rPr>
                <w:sz w:val="20"/>
              </w:rPr>
              <w:t>4.1</w:t>
            </w:r>
          </w:p>
        </w:tc>
        <w:tc>
          <w:tcPr>
            <w:tcW w:type="dxa" w:w="2340"/>
          </w:tcPr>
          <w:p>
            <w:pPr>
              <w:spacing w:line="240" w:lineRule="auto"/>
            </w:pPr>
            <w:r>
              <w:rPr>
                <w:sz w:val="20"/>
              </w:rPr>
              <w:t>Regulatory/Institutional</w:t>
            </w:r>
          </w:p>
        </w:tc>
        <w:tc>
          <w:tcPr>
            <w:tcW w:type="dxa" w:w="2340"/>
          </w:tcPr>
          <w:p>
            <w:pPr>
              <w:spacing w:line="240" w:lineRule="auto"/>
            </w:pPr>
            <w:r>
              <w:rPr>
                <w:sz w:val="20"/>
              </w:rPr>
              <w:t>Li et al. (2025)</w:t>
            </w:r>
          </w:p>
        </w:tc>
        <w:tc>
          <w:tcPr>
            <w:tcW w:type="dxa" w:w="2340"/>
          </w:tcPr>
          <w:p>
            <w:pPr>
              <w:spacing w:line="240" w:lineRule="auto"/>
            </w:pPr>
            <w:r>
              <w:rPr>
                <w:sz w:val="20"/>
              </w:rPr>
              <w:t>Direct empirical (general; China named among affected hosts)</w:t>
            </w:r>
          </w:p>
        </w:tc>
      </w:tr>
      <w:tr>
        <w:tc>
          <w:tcPr>
            <w:tcW w:type="dxa" w:w="2340"/>
          </w:tcPr>
          <w:p>
            <w:pPr>
              <w:spacing w:line="240" w:lineRule="auto"/>
            </w:pPr>
            <w:r>
              <w:rPr>
                <w:sz w:val="20"/>
              </w:rPr>
              <w:t>4.1</w:t>
            </w:r>
          </w:p>
        </w:tc>
        <w:tc>
          <w:tcPr>
            <w:tcW w:type="dxa" w:w="2340"/>
          </w:tcPr>
          <w:p>
            <w:pPr>
              <w:spacing w:line="240" w:lineRule="auto"/>
            </w:pPr>
            <w:r>
              <w:rPr>
                <w:sz w:val="20"/>
              </w:rPr>
              <w:t>Regulatory/Institutional</w:t>
            </w:r>
          </w:p>
        </w:tc>
        <w:tc>
          <w:tcPr>
            <w:tcW w:type="dxa" w:w="2340"/>
          </w:tcPr>
          <w:p>
            <w:pPr>
              <w:spacing w:line="240" w:lineRule="auto"/>
            </w:pPr>
            <w:r>
              <w:rPr>
                <w:sz w:val="20"/>
              </w:rPr>
              <w:t>Di Stefano &amp; Fratocchi (2019)</w:t>
            </w:r>
          </w:p>
        </w:tc>
        <w:tc>
          <w:tcPr>
            <w:tcW w:type="dxa" w:w="2340"/>
          </w:tcPr>
          <w:p>
            <w:pPr>
              <w:spacing w:line="240" w:lineRule="auto"/>
            </w:pPr>
            <w:r>
              <w:rPr>
                <w:sz w:val="20"/>
              </w:rPr>
              <w:t>Review</w:t>
            </w:r>
          </w:p>
        </w:tc>
      </w:tr>
      <w:tr>
        <w:tc>
          <w:tcPr>
            <w:tcW w:type="dxa" w:w="2340"/>
          </w:tcPr>
          <w:p>
            <w:pPr>
              <w:spacing w:line="240" w:lineRule="auto"/>
            </w:pPr>
            <w:r>
              <w:rPr>
                <w:sz w:val="20"/>
              </w:rPr>
              <w:t>4.2</w:t>
            </w:r>
          </w:p>
        </w:tc>
        <w:tc>
          <w:tcPr>
            <w:tcW w:type="dxa" w:w="2340"/>
          </w:tcPr>
          <w:p>
            <w:pPr>
              <w:spacing w:line="240" w:lineRule="auto"/>
            </w:pPr>
            <w:r>
              <w:rPr>
                <w:sz w:val="20"/>
              </w:rPr>
              <w:t>Regulatory/Institutional</w:t>
            </w:r>
          </w:p>
        </w:tc>
        <w:tc>
          <w:tcPr>
            <w:tcW w:type="dxa" w:w="2340"/>
          </w:tcPr>
          <w:p>
            <w:pPr>
              <w:spacing w:line="240" w:lineRule="auto"/>
            </w:pPr>
            <w:r>
              <w:rPr>
                <w:sz w:val="20"/>
              </w:rPr>
              <w:t>Di Stefano &amp; Fratocchi (2019)</w:t>
            </w:r>
          </w:p>
        </w:tc>
        <w:tc>
          <w:tcPr>
            <w:tcW w:type="dxa" w:w="2340"/>
          </w:tcPr>
          <w:p>
            <w:pPr>
              <w:spacing w:line="240" w:lineRule="auto"/>
            </w:pPr>
            <w:r>
              <w:rPr>
                <w:sz w:val="20"/>
              </w:rPr>
              <w:t>Review (limited, context-dependent evidence)</w:t>
            </w:r>
          </w:p>
        </w:tc>
      </w:tr>
      <w:tr>
        <w:tc>
          <w:tcPr>
            <w:tcW w:type="dxa" w:w="2340"/>
          </w:tcPr>
          <w:p>
            <w:pPr>
              <w:spacing w:line="240" w:lineRule="auto"/>
            </w:pPr>
            <w:r>
              <w:rPr>
                <w:sz w:val="20"/>
              </w:rPr>
              <w:t>4.3</w:t>
            </w:r>
          </w:p>
        </w:tc>
        <w:tc>
          <w:tcPr>
            <w:tcW w:type="dxa" w:w="2340"/>
          </w:tcPr>
          <w:p>
            <w:pPr>
              <w:spacing w:line="240" w:lineRule="auto"/>
            </w:pPr>
            <w:r>
              <w:rPr>
                <w:sz w:val="20"/>
              </w:rPr>
              <w:t>Regulatory/Institutional</w:t>
            </w:r>
          </w:p>
        </w:tc>
        <w:tc>
          <w:tcPr>
            <w:tcW w:type="dxa" w:w="2340"/>
          </w:tcPr>
          <w:p>
            <w:pPr>
              <w:spacing w:line="240" w:lineRule="auto"/>
            </w:pPr>
            <w:r>
              <w:rPr>
                <w:sz w:val="20"/>
              </w:rPr>
              <w:t>Mirzaei et al. (2021)</w:t>
            </w:r>
          </w:p>
        </w:tc>
        <w:tc>
          <w:tcPr>
            <w:tcW w:type="dxa" w:w="2340"/>
          </w:tcPr>
          <w:p>
            <w:pPr>
              <w:spacing w:line="240" w:lineRule="auto"/>
            </w:pPr>
            <w:r>
              <w:rPr>
                <w:sz w:val="20"/>
              </w:rPr>
              <w:t>Direct empirical (education/industry skills mismatch)</w:t>
            </w:r>
          </w:p>
        </w:tc>
      </w:tr>
      <w:tr>
        <w:tc>
          <w:tcPr>
            <w:tcW w:type="dxa" w:w="2340"/>
          </w:tcPr>
          <w:p>
            <w:pPr>
              <w:spacing w:line="240" w:lineRule="auto"/>
            </w:pPr>
            <w:r>
              <w:rPr>
                <w:sz w:val="20"/>
              </w:rPr>
              <w:t>4.3</w:t>
            </w:r>
          </w:p>
        </w:tc>
        <w:tc>
          <w:tcPr>
            <w:tcW w:type="dxa" w:w="2340"/>
          </w:tcPr>
          <w:p>
            <w:pPr>
              <w:spacing w:line="240" w:lineRule="auto"/>
            </w:pPr>
            <w:r>
              <w:rPr>
                <w:sz w:val="20"/>
              </w:rPr>
              <w:t>Regulatory/Institutional</w:t>
            </w:r>
          </w:p>
        </w:tc>
        <w:tc>
          <w:tcPr>
            <w:tcW w:type="dxa" w:w="2340"/>
          </w:tcPr>
          <w:p>
            <w:pPr>
              <w:spacing w:line="240" w:lineRule="auto"/>
            </w:pPr>
            <w:r>
              <w:rPr>
                <w:sz w:val="20"/>
              </w:rPr>
              <w:t>Gupta et al. (2023)</w:t>
            </w:r>
          </w:p>
        </w:tc>
        <w:tc>
          <w:tcPr>
            <w:tcW w:type="dxa" w:w="2340"/>
          </w:tcPr>
          <w:p>
            <w:pPr>
              <w:spacing w:line="240" w:lineRule="auto"/>
            </w:pPr>
            <w:r>
              <w:rPr>
                <w:sz w:val="20"/>
              </w:rPr>
              <w:t>Conceptual</w:t>
            </w:r>
          </w:p>
        </w:tc>
      </w:tr>
    </w:tbl>
    <w:p>
      <w:r>
        <w:rPr>
          <w:i/>
        </w:rPr>
        <w:t>Appendix B notes:</w:t>
      </w:r>
      <w:r>
        <w:t xml:space="preserve"> (i) Tsai and Urmetzer (2024) appears in the formal analytical sample but serves terminology and framework purposes only and therefore has no barrier-theme entry. (ii) Robinson and Hsieh (2016) likewise has no barrier-theme entry: it contributes driver and strategic-renewal evidence rather than implementation-barrier evidence. (iii) Themes 1.4, 3.4, 3.5, and 4.2 have no direct empirical source; they rest on review and conceptual evidence only, as recorded above.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32"/>
      <w:szCs w:val="28"/>
      <w:color w:val="000000"/>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8"/>
      <w:szCs w:val="26"/>
      <w:color w:val="00000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4"/>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