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[Degree programme as on the student record sheet]</w:t>
      </w:r>
    </w:p>
    <w:p>
      <w:pPr>
        <w:spacing w:before="0" w:after="120"/>
        <w:jc w:val="center"/>
      </w:pPr>
      <w:r>
        <w:rPr>
          <w:b w:val="0"/>
          <w:sz w:val="24"/>
        </w:rPr>
        <w:t>Betreut von / Supervisor: Dr. Aveed Raha</w:t>
      </w:r>
    </w:p>
    <w:p>
      <w:r>
        <w:br w:type="page"/>
      </w:r>
    </w:p>
    <w:p>
      <w:pPr>
        <w:pStyle w:val="Heading1"/>
      </w:pPr>
      <w:r>
        <w:t>Acknowledgments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r>
        <w:br w:type="page"/>
      </w:r>
    </w:p>
    <w:p>
      <w:pPr>
        <w:pStyle w:val="Heading1"/>
      </w:pPr>
      <w:r>
        <w:t>Table of Contents</w:t>
      </w:r>
    </w:p>
    <w:p>
      <w:fldSimple w:instr="TOC \o &quot;1-3&quot; \h \z \u">
        <w:r>
          <w:t>Right-click and choose "Update Field" to generate the Table of Contents.</w:t>
        </w:r>
      </w:fldSimple>
    </w:p>
    <w:p>
      <w:r>
        <w:br w:type="page"/>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the same evidence indicates that reshoring is more likely to be adopted in capital- and technology-intensive manufacturing than in labour-intensive industries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The COVID-19 pandemic acted as a further trigger, accelerating reshoring considerations that firms had previously deferred (Barbieri et al., 2020), and in Europe it intensified the political and academic debate on reindustrialisation and on bringing manufacturing capacity back to home markets (Somoza Medina, 2022). These developments have shifted the location decision from a largely cost-based calculation towards a broader assessment of risk, resilience, and control.</w:t>
      </w:r>
    </w:p>
    <w:p>
      <w:r>
        <w:t>In this context, reshoring has become a topic of increasing interest for companies, policymakers, and academics.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good strategic argument for bringing production back does not automatically mean that a firm has the resources and capabilities to do it.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aligned with the research questions. The starting point is to identify the barriers to reshoring implementation reported in the peer-reviewed literature; the thesis does not collect primary interview, survey, or company data, but instead uses a systematic literature review as its research method. The identified barriers are then categorised into a firm-level framework of four categories — regulatory/institutional, cultural/organisational, cost/operational, and asset/capability barriers — and interpreted through two established theoretical perspectives, Transaction Cost Economics and the Resource-Based View, to explain why the return of production remains challenging even after the decision to reshore has been made. Finally, the thesis derives managerial implications that suggest how international businesses can anticipate and address these barriers when planning and implementing reshoring from Asian markets.</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r>
        <w:br w:type="page"/>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rather than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is based on a variety of theoretical approaches rather than a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r>
        <w:br w:type="page"/>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rather than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rather than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rather than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rather than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rather than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rather than generalisable, a constraint stated explicitly in the results and the limitations discussion.</w:t>
      </w:r>
    </w:p>
    <w:p>
      <w:r>
        <w:t>To summarise, this chapter has argued that the systematic literature review is the method best matched to the research questions, explained how the 34-source corpus and its 21-source formal analytical sample were assembled, screened, and quality-assessed under PRISMA reporting, and outlined the hybrid deductive–inductive thematic synthesis through which the barriers were coded and organised. It has also stated the principal limitations of the approach and the rules that keep the evidence types separate and maintain the driver–barrier distinction. The following chapter presents the results of this synthesis, reporting the barriers identified in the literature within the four categories of the firm-level framework.</w:t>
      </w:r>
    </w:p>
    <w:p>
      <w:r>
        <w:br w:type="page"/>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rather than Asia-specific evidence. The findings of Li et al. (2025) are likewise reported as general Nordic/Swedish evidence, with one exception noted in Section 4.2: the study explicitly names China among the host locations affected by strict layoff regulations.</w:t>
      </w:r>
    </w:p>
    <w:p>
      <w:r>
        <w:t>Each category is reported with its own table (Tables 1–4, in Sections 4.2 to 4.5), showing the evidence available for each theme by type and its Asia-specificity status; the complete coding table cross-referencing every theme to its contributing sources is provided in Appendix B.</w:t>
      </w:r>
    </w:p>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pPr>
        <w:sectPr>
          <w:pgSz w:w="12240" w:h="15840"/>
          <w:pgMar w:top="1440" w:right="1440" w:bottom="1440" w:left="1440" w:header="720" w:footer="720" w:gutter="0"/>
          <w:cols w:space="720"/>
          <w:docGrid w:linePitch="360"/>
        </w:sectPr>
      </w:pPr>
    </w:p>
    <w:p>
      <w:r>
        <w:rPr>
          <w:b/>
        </w:rPr>
        <w:t>Table 1.</w:t>
      </w:r>
      <w:r>
        <w:t xml:space="preserve"> </w:t>
      </w:r>
      <w:r>
        <w:rPr>
          <w:i/>
        </w:rPr>
        <w:t>Regulatory/institutional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Host-country exit regulation</w:t>
            </w:r>
          </w:p>
        </w:tc>
        <w:tc>
          <w:tcPr>
            <w:tcW w:type="dxa" w:w="2592"/>
          </w:tcPr>
          <w:p>
            <w:pPr>
              <w:spacing w:line="240" w:lineRule="auto"/>
            </w:pPr>
            <w:r>
              <w:rPr>
                <w:sz w:val="20"/>
              </w:rPr>
              <w:t>Li et al. (2025)</w:t>
            </w:r>
          </w:p>
        </w:tc>
        <w:tc>
          <w:tcPr>
            <w:tcW w:type="dxa" w:w="2592"/>
          </w:tcPr>
          <w:p>
            <w:pPr>
              <w:spacing w:line="240" w:lineRule="auto"/>
            </w:pPr>
            <w:r>
              <w:rPr>
                <w:sz w:val="20"/>
              </w:rPr>
              <w:t>Di Stefano &amp; Fratocchi (2019)</w:t>
            </w:r>
          </w:p>
        </w:tc>
        <w:tc>
          <w:tcPr>
            <w:tcW w:type="dxa" w:w="2592"/>
          </w:tcPr>
          <w:p>
            <w:pPr>
              <w:spacing w:line="240" w:lineRule="auto"/>
            </w:pPr>
            <w:r>
              <w:rPr>
                <w:sz w:val="20"/>
              </w:rPr>
              <w:t>—</w:t>
            </w:r>
          </w:p>
        </w:tc>
        <w:tc>
          <w:tcPr>
            <w:tcW w:type="dxa" w:w="2592"/>
          </w:tcPr>
          <w:p>
            <w:pPr>
              <w:spacing w:line="240" w:lineRule="auto"/>
            </w:pPr>
            <w:r>
              <w:rPr>
                <w:sz w:val="20"/>
              </w:rPr>
              <w:t>Partial — Li et al. explicitly name China (and Poland) among the affected host locations</w:t>
            </w:r>
          </w:p>
        </w:tc>
      </w:tr>
      <w:tr>
        <w:tc>
          <w:tcPr>
            <w:tcW w:type="dxa" w:w="2592"/>
          </w:tcPr>
          <w:p>
            <w:pPr>
              <w:spacing w:line="240" w:lineRule="auto"/>
            </w:pPr>
            <w:r>
              <w:rPr>
                <w:sz w:val="20"/>
              </w:rPr>
              <w:t>Social-responsibility &amp; workforce-resistance exit constraints</w:t>
            </w:r>
          </w:p>
        </w:tc>
        <w:tc>
          <w:tcPr>
            <w:tcW w:type="dxa" w:w="2592"/>
          </w:tcPr>
          <w:p>
            <w:pPr>
              <w:spacing w:line="240" w:lineRule="auto"/>
            </w:pPr>
            <w:r>
              <w:rPr>
                <w:sz w:val="20"/>
              </w:rPr>
              <w:t>—</w:t>
            </w:r>
          </w:p>
        </w:tc>
        <w:tc>
          <w:tcPr>
            <w:tcW w:type="dxa" w:w="2592"/>
          </w:tcPr>
          <w:p>
            <w:pPr>
              <w:spacing w:line="240" w:lineRule="auto"/>
            </w:pPr>
            <w:r>
              <w:rPr>
                <w:sz w:val="20"/>
              </w:rPr>
              <w:t>Di Stefano &amp; Fratocchi (2019)</w:t>
            </w:r>
          </w:p>
        </w:tc>
        <w:tc>
          <w:tcPr>
            <w:tcW w:type="dxa" w:w="2592"/>
          </w:tcPr>
          <w:p>
            <w:pPr>
              <w:spacing w:line="240" w:lineRule="auto"/>
            </w:pPr>
            <w:r>
              <w:rPr>
                <w:sz w:val="20"/>
              </w:rPr>
              <w:t>—</w:t>
            </w:r>
          </w:p>
        </w:tc>
        <w:tc>
          <w:tcPr>
            <w:tcW w:type="dxa" w:w="2592"/>
          </w:tcPr>
          <w:p>
            <w:pPr>
              <w:spacing w:line="240" w:lineRule="auto"/>
            </w:pPr>
            <w:r>
              <w:rPr>
                <w:sz w:val="20"/>
              </w:rPr>
              <w:t>No</w:t>
            </w:r>
          </w:p>
        </w:tc>
      </w:tr>
      <w:tr>
        <w:tc>
          <w:tcPr>
            <w:tcW w:type="dxa" w:w="2592"/>
          </w:tcPr>
          <w:p>
            <w:pPr>
              <w:spacing w:line="240" w:lineRule="auto"/>
            </w:pPr>
            <w:r>
              <w:rPr>
                <w:sz w:val="20"/>
              </w:rPr>
              <w:t>Home-country compliance burden &amp; institutional frictions</w:t>
            </w:r>
          </w:p>
        </w:tc>
        <w:tc>
          <w:tcPr>
            <w:tcW w:type="dxa" w:w="2592"/>
          </w:tcPr>
          <w:p>
            <w:pPr>
              <w:spacing w:line="240" w:lineRule="auto"/>
            </w:pPr>
            <w:r>
              <w:rPr>
                <w:sz w:val="20"/>
              </w:rPr>
              <w:t>Mirzaei et al. (2021)</w:t>
            </w:r>
          </w:p>
        </w:tc>
        <w:tc>
          <w:tcPr>
            <w:tcW w:type="dxa" w:w="2592"/>
          </w:tcPr>
          <w:p>
            <w:pPr>
              <w:spacing w:line="240" w:lineRule="auto"/>
            </w:pPr>
            <w:r>
              <w:rPr>
                <w:sz w:val="20"/>
              </w:rPr>
              <w:t>—</w:t>
            </w:r>
          </w:p>
        </w:tc>
        <w:tc>
          <w:tcPr>
            <w:tcW w:type="dxa" w:w="2592"/>
          </w:tcPr>
          <w:p>
            <w:pPr>
              <w:spacing w:line="240" w:lineRule="auto"/>
            </w:pPr>
            <w:r>
              <w:rPr>
                <w:sz w:val="20"/>
              </w:rPr>
              <w:t>Gupta et al. (2023)</w:t>
            </w:r>
          </w:p>
        </w:tc>
        <w:tc>
          <w:tcPr>
            <w:tcW w:type="dxa" w:w="2592"/>
          </w:tcPr>
          <w:p>
            <w:pPr>
              <w:spacing w:line="240" w:lineRule="auto"/>
            </w:pPr>
            <w:r>
              <w:rPr>
                <w:sz w:val="20"/>
              </w:rPr>
              <w:t>No</w:t>
            </w:r>
          </w:p>
        </w:tc>
      </w:tr>
    </w:tbl>
    <w:p>
      <w:pPr>
        <w:sectPr>
          <w:pgSz w:w="15840" w:h="12240" w:orient="landscape"/>
          <w:pgMar w:top="1440" w:right="1440" w:bottom="1440" w:left="1440" w:header="720" w:footer="720" w:gutter="0"/>
          <w:cols w:space="720"/>
          <w:docGrid w:linePitch="360"/>
        </w:sectPr>
      </w:pPr>
    </w:p>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rather than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pPr>
        <w:sectPr>
          <w:pgSz w:w="12240" w:h="15840"/>
          <w:pgMar w:top="1440" w:right="1440" w:bottom="1440" w:left="1440" w:header="720" w:footer="720" w:gutter="0"/>
          <w:cols w:space="720"/>
          <w:docGrid w:linePitch="360"/>
        </w:sectPr>
      </w:pPr>
    </w:p>
    <w:p>
      <w:r>
        <w:rPr>
          <w:b/>
        </w:rPr>
        <w:t>Table 2.</w:t>
      </w:r>
      <w:r>
        <w:t xml:space="preserve"> </w:t>
      </w:r>
      <w:r>
        <w:rPr>
          <w:i/>
        </w:rPr>
        <w:t>Cultural/organisational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Organisational readiness, behavioural biases, learning-by-trial</w:t>
            </w:r>
          </w:p>
        </w:tc>
        <w:tc>
          <w:tcPr>
            <w:tcW w:type="dxa" w:w="2592"/>
          </w:tcPr>
          <w:p>
            <w:pPr>
              <w:spacing w:line="240" w:lineRule="auto"/>
            </w:pPr>
            <w:r>
              <w:rPr>
                <w:sz w:val="20"/>
              </w:rPr>
              <w:t>Boffelli et al. (2021)</w:t>
            </w:r>
          </w:p>
        </w:tc>
        <w:tc>
          <w:tcPr>
            <w:tcW w:type="dxa" w:w="2592"/>
          </w:tcPr>
          <w:p>
            <w:pPr>
              <w:spacing w:line="240" w:lineRule="auto"/>
            </w:pPr>
            <w:r>
              <w:rPr>
                <w:sz w:val="20"/>
              </w:rPr>
              <w:t>Wiesmann et al. (2017)</w:t>
            </w:r>
          </w:p>
        </w:tc>
        <w:tc>
          <w:tcPr>
            <w:tcW w:type="dxa" w:w="2592"/>
          </w:tcPr>
          <w:p>
            <w:pPr>
              <w:spacing w:line="240" w:lineRule="auto"/>
            </w:pPr>
            <w:r>
              <w:rPr>
                <w:sz w:val="20"/>
              </w:rPr>
              <w:t>D'Ambrosio &amp; Lavoratori (2025)</w:t>
            </w:r>
          </w:p>
        </w:tc>
        <w:tc>
          <w:tcPr>
            <w:tcW w:type="dxa" w:w="2592"/>
          </w:tcPr>
          <w:p>
            <w:pPr>
              <w:spacing w:line="240" w:lineRule="auto"/>
            </w:pPr>
            <w:r>
              <w:rPr>
                <w:sz w:val="20"/>
              </w:rPr>
              <w:t>No — Boffelli et al.'s hosts were European and North African</w:t>
            </w:r>
          </w:p>
        </w:tc>
      </w:tr>
      <w:tr>
        <w:tc>
          <w:tcPr>
            <w:tcW w:type="dxa" w:w="2592"/>
          </w:tcPr>
          <w:p>
            <w:pPr>
              <w:spacing w:line="240" w:lineRule="auto"/>
            </w:pPr>
            <w:r>
              <w:rPr>
                <w:sz w:val="20"/>
              </w:rPr>
              <w:t>Intra-organisational silos &amp; weak employee involvement</w:t>
            </w:r>
          </w:p>
        </w:tc>
        <w:tc>
          <w:tcPr>
            <w:tcW w:type="dxa" w:w="2592"/>
          </w:tcPr>
          <w:p>
            <w:pPr>
              <w:spacing w:line="240" w:lineRule="auto"/>
            </w:pPr>
            <w:r>
              <w:rPr>
                <w:sz w:val="20"/>
              </w:rPr>
              <w:t>Mirzaei et al. (2021)</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No</w:t>
            </w:r>
          </w:p>
        </w:tc>
      </w:tr>
      <w:tr>
        <w:tc>
          <w:tcPr>
            <w:tcW w:type="dxa" w:w="2592"/>
          </w:tcPr>
          <w:p>
            <w:pPr>
              <w:spacing w:line="240" w:lineRule="auto"/>
            </w:pPr>
            <w:r>
              <w:rPr>
                <w:sz w:val="20"/>
              </w:rPr>
              <w:t>Adverse host-supplier relational response</w:t>
            </w:r>
          </w:p>
        </w:tc>
        <w:tc>
          <w:tcPr>
            <w:tcW w:type="dxa" w:w="2592"/>
          </w:tcPr>
          <w:p>
            <w:pPr>
              <w:spacing w:line="240" w:lineRule="auto"/>
            </w:pPr>
            <w:r>
              <w:rPr>
                <w:sz w:val="20"/>
              </w:rPr>
              <w:t>Pedroletti (2025)</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Yes — Pedroletti (single case)</w:t>
            </w:r>
          </w:p>
        </w:tc>
      </w:tr>
      <w:tr>
        <w:tc>
          <w:tcPr>
            <w:tcW w:type="dxa" w:w="2592"/>
          </w:tcPr>
          <w:p>
            <w:pPr>
              <w:spacing w:line="240" w:lineRule="auto"/>
            </w:pPr>
            <w:r>
              <w:rPr>
                <w:sz w:val="20"/>
              </w:rPr>
              <w:t>Governance mode of the return (gap)</w:t>
            </w:r>
          </w:p>
        </w:tc>
        <w:tc>
          <w:tcPr>
            <w:tcW w:type="dxa" w:w="2592"/>
          </w:tcPr>
          <w:p>
            <w:pPr>
              <w:spacing w:line="240" w:lineRule="auto"/>
            </w:pPr>
            <w:r>
              <w:rPr>
                <w:sz w:val="20"/>
              </w:rPr>
              <w:t>—</w:t>
            </w:r>
          </w:p>
        </w:tc>
        <w:tc>
          <w:tcPr>
            <w:tcW w:type="dxa" w:w="2592"/>
          </w:tcPr>
          <w:p>
            <w:pPr>
              <w:spacing w:line="240" w:lineRule="auto"/>
            </w:pPr>
            <w:r>
              <w:rPr>
                <w:sz w:val="20"/>
              </w:rPr>
              <w:t>Pedroletti &amp; Ciabuschi (2023)</w:t>
            </w:r>
          </w:p>
        </w:tc>
        <w:tc>
          <w:tcPr>
            <w:tcW w:type="dxa" w:w="2592"/>
          </w:tcPr>
          <w:p>
            <w:pPr>
              <w:spacing w:line="240" w:lineRule="auto"/>
            </w:pPr>
            <w:r>
              <w:rPr>
                <w:sz w:val="20"/>
              </w:rPr>
              <w:t>—</w:t>
            </w:r>
          </w:p>
        </w:tc>
        <w:tc>
          <w:tcPr>
            <w:tcW w:type="dxa" w:w="2592"/>
          </w:tcPr>
          <w:p>
            <w:pPr>
              <w:spacing w:line="240" w:lineRule="auto"/>
            </w:pPr>
            <w:r>
              <w:rPr>
                <w:sz w:val="20"/>
              </w:rPr>
              <w:t>No — reported as under-researched dimension</w:t>
            </w:r>
          </w:p>
        </w:tc>
      </w:tr>
      <w:tr>
        <w:tc>
          <w:tcPr>
            <w:tcW w:type="dxa" w:w="2592"/>
          </w:tcPr>
          <w:p>
            <w:pPr>
              <w:spacing w:line="240" w:lineRule="auto"/>
            </w:pPr>
            <w:r>
              <w:rPr>
                <w:sz w:val="20"/>
              </w:rPr>
              <w:t>Digital/organisational adaptation burden</w:t>
            </w:r>
          </w:p>
        </w:tc>
        <w:tc>
          <w:tcPr>
            <w:tcW w:type="dxa" w:w="2592"/>
          </w:tcPr>
          <w:p>
            <w:pPr>
              <w:spacing w:line="240" w:lineRule="auto"/>
            </w:pPr>
            <w:r>
              <w:rPr>
                <w:sz w:val="20"/>
              </w:rPr>
              <w:t>—</w:t>
            </w:r>
          </w:p>
        </w:tc>
        <w:tc>
          <w:tcPr>
            <w:tcW w:type="dxa" w:w="2592"/>
          </w:tcPr>
          <w:p>
            <w:pPr>
              <w:spacing w:line="240" w:lineRule="auto"/>
            </w:pPr>
            <w:r>
              <w:rPr>
                <w:sz w:val="20"/>
              </w:rPr>
              <w:t>Bilbao-Ubillos et al. (2024); Espíndola et al. (2023)</w:t>
            </w:r>
          </w:p>
        </w:tc>
        <w:tc>
          <w:tcPr>
            <w:tcW w:type="dxa" w:w="2592"/>
          </w:tcPr>
          <w:p>
            <w:pPr>
              <w:spacing w:line="240" w:lineRule="auto"/>
            </w:pPr>
            <w:r>
              <w:rPr>
                <w:sz w:val="20"/>
              </w:rPr>
              <w:t>Gupta et al. (2023); D'Ambrosio &amp; Lavoratori (2025)</w:t>
            </w:r>
          </w:p>
        </w:tc>
        <w:tc>
          <w:tcPr>
            <w:tcW w:type="dxa" w:w="2592"/>
          </w:tcPr>
          <w:p>
            <w:pPr>
              <w:spacing w:line="240" w:lineRule="auto"/>
            </w:pPr>
            <w:r>
              <w:rPr>
                <w:sz w:val="20"/>
              </w:rPr>
              <w:t>No</w:t>
            </w:r>
          </w:p>
        </w:tc>
      </w:tr>
    </w:tbl>
    <w:p>
      <w:pPr>
        <w:sectPr>
          <w:pgSz w:w="15840" w:h="12240" w:orient="landscape"/>
          <w:pgMar w:top="1440" w:right="1440" w:bottom="1440" w:left="1440" w:header="720" w:footer="720" w:gutter="0"/>
          <w:cols w:space="720"/>
          <w:docGrid w:linePitch="360"/>
        </w:sectPr>
      </w:pPr>
    </w:p>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rather than Asia-specific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changing routines, responsibilities, information flows, and supplier and customer relationships rather than merely purchasing technology,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pPr>
        <w:sectPr>
          <w:pgSz w:w="12240" w:h="15840"/>
          <w:pgMar w:top="1440" w:right="1440" w:bottom="1440" w:left="1440" w:header="720" w:footer="720" w:gutter="0"/>
          <w:cols w:space="720"/>
          <w:docGrid w:linePitch="360"/>
        </w:sectPr>
      </w:pPr>
    </w:p>
    <w:p>
      <w:r>
        <w:rPr>
          <w:b/>
        </w:rPr>
        <w:t>Table 3.</w:t>
      </w:r>
      <w:r>
        <w:t xml:space="preserve"> </w:t>
      </w:r>
      <w:r>
        <w:rPr>
          <w:i/>
        </w:rPr>
        <w:t>Cost/operational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Hollowed-out supply base / supplier-network rebuilding</w:t>
            </w:r>
          </w:p>
        </w:tc>
        <w:tc>
          <w:tcPr>
            <w:tcW w:type="dxa" w:w="2592"/>
          </w:tcPr>
          <w:p>
            <w:pPr>
              <w:spacing w:line="240" w:lineRule="auto"/>
            </w:pPr>
            <w:r>
              <w:rPr>
                <w:sz w:val="20"/>
              </w:rPr>
              <w:t>Mirzaei et al. (2021); Di Mauro et al. (2018)</w:t>
            </w:r>
          </w:p>
        </w:tc>
        <w:tc>
          <w:tcPr>
            <w:tcW w:type="dxa" w:w="2592"/>
          </w:tcPr>
          <w:p>
            <w:pPr>
              <w:spacing w:line="240" w:lineRule="auto"/>
            </w:pPr>
            <w:r>
              <w:rPr>
                <w:sz w:val="20"/>
              </w:rPr>
              <w:t>Wiesmann et al. (2017); Ocicka (2016)</w:t>
            </w:r>
          </w:p>
        </w:tc>
        <w:tc>
          <w:tcPr>
            <w:tcW w:type="dxa" w:w="2592"/>
          </w:tcPr>
          <w:p>
            <w:pPr>
              <w:spacing w:line="240" w:lineRule="auto"/>
            </w:pPr>
            <w:r>
              <w:rPr>
                <w:sz w:val="20"/>
              </w:rPr>
              <w:t>Gupta et al. (2023)</w:t>
            </w:r>
          </w:p>
        </w:tc>
        <w:tc>
          <w:tcPr>
            <w:tcW w:type="dxa" w:w="2592"/>
          </w:tcPr>
          <w:p>
            <w:pPr>
              <w:spacing w:line="240" w:lineRule="auto"/>
            </w:pPr>
            <w:r>
              <w:rPr>
                <w:sz w:val="20"/>
              </w:rPr>
              <w:t>Partial — Di Mauro et al. (2 of 4 cases from China, unattributed)</w:t>
            </w:r>
          </w:p>
        </w:tc>
      </w:tr>
      <w:tr>
        <w:tc>
          <w:tcPr>
            <w:tcW w:type="dxa" w:w="2592"/>
          </w:tcPr>
          <w:p>
            <w:pPr>
              <w:spacing w:line="240" w:lineRule="auto"/>
            </w:pPr>
            <w:r>
              <w:rPr>
                <w:sz w:val="20"/>
              </w:rPr>
              <w:t>New fixed costs &amp; switching/reconfiguration costs</w:t>
            </w:r>
          </w:p>
        </w:tc>
        <w:tc>
          <w:tcPr>
            <w:tcW w:type="dxa" w:w="2592"/>
          </w:tcPr>
          <w:p>
            <w:pPr>
              <w:spacing w:line="240" w:lineRule="auto"/>
            </w:pPr>
            <w:r>
              <w:rPr>
                <w:sz w:val="20"/>
              </w:rPr>
              <w:t>Li et al. (2025)</w:t>
            </w:r>
          </w:p>
        </w:tc>
        <w:tc>
          <w:tcPr>
            <w:tcW w:type="dxa" w:w="2592"/>
          </w:tcPr>
          <w:p>
            <w:pPr>
              <w:spacing w:line="240" w:lineRule="auto"/>
            </w:pPr>
            <w:r>
              <w:rPr>
                <w:sz w:val="20"/>
              </w:rPr>
              <w:t>Espíndola et al. (2023)</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No</w:t>
            </w:r>
          </w:p>
        </w:tc>
      </w:tr>
      <w:tr>
        <w:tc>
          <w:tcPr>
            <w:tcW w:type="dxa" w:w="2592"/>
          </w:tcPr>
          <w:p>
            <w:pPr>
              <w:spacing w:line="240" w:lineRule="auto"/>
            </w:pPr>
            <w:r>
              <w:rPr>
                <w:sz w:val="20"/>
              </w:rPr>
              <w:t>High-cost home environment</w:t>
            </w:r>
          </w:p>
        </w:tc>
        <w:tc>
          <w:tcPr>
            <w:tcW w:type="dxa" w:w="2592"/>
          </w:tcPr>
          <w:p>
            <w:pPr>
              <w:spacing w:line="240" w:lineRule="auto"/>
            </w:pPr>
            <w:r>
              <w:rPr>
                <w:sz w:val="20"/>
              </w:rPr>
              <w:t>Mirzaei et al. (2021); Li et al. (2025)</w:t>
            </w:r>
          </w:p>
        </w:tc>
        <w:tc>
          <w:tcPr>
            <w:tcW w:type="dxa" w:w="2592"/>
          </w:tcPr>
          <w:p>
            <w:pPr>
              <w:spacing w:line="240" w:lineRule="auto"/>
            </w:pPr>
            <w:r>
              <w:rPr>
                <w:sz w:val="20"/>
              </w:rPr>
              <w:t>—</w:t>
            </w:r>
          </w:p>
        </w:tc>
        <w:tc>
          <w:tcPr>
            <w:tcW w:type="dxa" w:w="2592"/>
          </w:tcPr>
          <w:p>
            <w:pPr>
              <w:spacing w:line="240" w:lineRule="auto"/>
            </w:pPr>
            <w:r>
              <w:rPr>
                <w:sz w:val="20"/>
              </w:rPr>
              <w:t>D'Ambrosio &amp; Lavoratori (2025)</w:t>
            </w:r>
          </w:p>
        </w:tc>
        <w:tc>
          <w:tcPr>
            <w:tcW w:type="dxa" w:w="2592"/>
          </w:tcPr>
          <w:p>
            <w:pPr>
              <w:spacing w:line="240" w:lineRule="auto"/>
            </w:pPr>
            <w:r>
              <w:rPr>
                <w:sz w:val="20"/>
              </w:rPr>
              <w:t>No</w:t>
            </w:r>
          </w:p>
        </w:tc>
      </w:tr>
      <w:tr>
        <w:tc>
          <w:tcPr>
            <w:tcW w:type="dxa" w:w="2592"/>
          </w:tcPr>
          <w:p>
            <w:pPr>
              <w:spacing w:line="240" w:lineRule="auto"/>
            </w:pPr>
            <w:r>
              <w:rPr>
                <w:sz w:val="20"/>
              </w:rPr>
              <w:t>Hybrid-operation coordination complexity (partial reshoring)</w:t>
            </w:r>
          </w:p>
        </w:tc>
        <w:tc>
          <w:tcPr>
            <w:tcW w:type="dxa" w:w="2592"/>
          </w:tcPr>
          <w:p>
            <w:pPr>
              <w:spacing w:line="240" w:lineRule="auto"/>
            </w:pPr>
            <w:r>
              <w:rPr>
                <w:sz w:val="20"/>
              </w:rPr>
              <w:t>Pedroletti (2025)</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Yes — Pedroletti (single case)</w:t>
            </w:r>
          </w:p>
        </w:tc>
      </w:tr>
      <w:tr>
        <w:tc>
          <w:tcPr>
            <w:tcW w:type="dxa" w:w="2592"/>
          </w:tcPr>
          <w:p>
            <w:pPr>
              <w:spacing w:line="240" w:lineRule="auto"/>
            </w:pPr>
            <w:r>
              <w:rPr>
                <w:sz w:val="20"/>
              </w:rPr>
              <w:t>Underestimated operational adjustments</w:t>
            </w:r>
          </w:p>
        </w:tc>
        <w:tc>
          <w:tcPr>
            <w:tcW w:type="dxa" w:w="2592"/>
          </w:tcPr>
          <w:p>
            <w:pPr>
              <w:spacing w:line="240" w:lineRule="auto"/>
            </w:pPr>
            <w:r>
              <w:rPr>
                <w:sz w:val="20"/>
              </w:rPr>
              <w:t>Boffelli et al. (2021)</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No — hosts were Romania, Morocco, Croatia, and Hungary</w:t>
            </w:r>
          </w:p>
        </w:tc>
      </w:tr>
    </w:tbl>
    <w:p>
      <w:pPr>
        <w:sectPr>
          <w:pgSz w:w="15840" w:h="12240" w:orient="landscape"/>
          <w:pgMar w:top="1440" w:right="1440" w:bottom="1440" w:left="1440" w:header="720" w:footer="720" w:gutter="0"/>
          <w:cols w:space="720"/>
          <w:docGrid w:linePitch="360"/>
        </w:sectPr>
      </w:pPr>
    </w:p>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constrains the viability and scale of reshoring rather than blocking physical relocation.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pPr>
        <w:sectPr>
          <w:pgSz w:w="12240" w:h="15840"/>
          <w:pgMar w:top="1440" w:right="1440" w:bottom="1440" w:left="1440" w:header="720" w:footer="720" w:gutter="0"/>
          <w:cols w:space="720"/>
          <w:docGrid w:linePitch="360"/>
        </w:sectPr>
      </w:pPr>
    </w:p>
    <w:p>
      <w:r>
        <w:rPr>
          <w:b/>
        </w:rPr>
        <w:t>Table 4.</w:t>
      </w:r>
      <w:r>
        <w:t xml:space="preserve"> </w:t>
      </w:r>
      <w:r>
        <w:rPr>
          <w:i/>
        </w:rPr>
        <w:t>Asset/capability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Domestic skilled-labour &amp; competence gap</w:t>
            </w:r>
          </w:p>
        </w:tc>
        <w:tc>
          <w:tcPr>
            <w:tcW w:type="dxa" w:w="2592"/>
          </w:tcPr>
          <w:p>
            <w:pPr>
              <w:spacing w:line="240" w:lineRule="auto"/>
            </w:pPr>
            <w:r>
              <w:rPr>
                <w:sz w:val="20"/>
              </w:rPr>
              <w:t>Pegoraro et al. (2022); Li et al. (2025); Di Mauro et al. (2018); Mirzaei et al. (2021)</w:t>
            </w:r>
          </w:p>
        </w:tc>
        <w:tc>
          <w:tcPr>
            <w:tcW w:type="dxa" w:w="2592"/>
          </w:tcPr>
          <w:p>
            <w:pPr>
              <w:spacing w:line="240" w:lineRule="auto"/>
            </w:pPr>
            <w:r>
              <w:rPr>
                <w:sz w:val="20"/>
              </w:rPr>
              <w:t>Wiesmann et al. (2017); Ocicka (2016); Bilbao-Ubillos et al. (2024)</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Yes — Pegoraro et al. (single China→UK case); others general/partial</w:t>
            </w:r>
          </w:p>
        </w:tc>
      </w:tr>
      <w:tr>
        <w:tc>
          <w:tcPr>
            <w:tcW w:type="dxa" w:w="2592"/>
          </w:tcPr>
          <w:p>
            <w:pPr>
              <w:spacing w:line="240" w:lineRule="auto"/>
            </w:pPr>
            <w:r>
              <w:rPr>
                <w:sz w:val="20"/>
              </w:rPr>
              <w:t>Domestic capacity, facilities &amp; machinery gap</w:t>
            </w:r>
          </w:p>
        </w:tc>
        <w:tc>
          <w:tcPr>
            <w:tcW w:type="dxa" w:w="2592"/>
          </w:tcPr>
          <w:p>
            <w:pPr>
              <w:spacing w:line="240" w:lineRule="auto"/>
            </w:pPr>
            <w:r>
              <w:rPr>
                <w:sz w:val="20"/>
              </w:rPr>
              <w:t>Pegoraro et al. (2022); Li et al. (2025); Mirzaei et al. (2021)</w:t>
            </w:r>
          </w:p>
        </w:tc>
        <w:tc>
          <w:tcPr>
            <w:tcW w:type="dxa" w:w="2592"/>
          </w:tcPr>
          <w:p>
            <w:pPr>
              <w:spacing w:line="240" w:lineRule="auto"/>
            </w:pPr>
            <w:r>
              <w:rPr>
                <w:sz w:val="20"/>
              </w:rPr>
              <w:t>Wiesmann et al. (2017)</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Yes — Pegoraro et al. (single case); others general</w:t>
            </w:r>
          </w:p>
        </w:tc>
      </w:tr>
      <w:tr>
        <w:tc>
          <w:tcPr>
            <w:tcW w:type="dxa" w:w="2592"/>
          </w:tcPr>
          <w:p>
            <w:pPr>
              <w:spacing w:line="240" w:lineRule="auto"/>
            </w:pPr>
            <w:r>
              <w:rPr>
                <w:sz w:val="20"/>
              </w:rPr>
              <w:t>Host-supplier dependence &amp; knowledge lock-in</w:t>
            </w:r>
          </w:p>
        </w:tc>
        <w:tc>
          <w:tcPr>
            <w:tcW w:type="dxa" w:w="2592"/>
          </w:tcPr>
          <w:p>
            <w:pPr>
              <w:spacing w:line="240" w:lineRule="auto"/>
            </w:pPr>
            <w:r>
              <w:rPr>
                <w:sz w:val="20"/>
              </w:rPr>
              <w:t>Pedroletti (2025); Li et al. (2025)</w:t>
            </w:r>
          </w:p>
        </w:tc>
        <w:tc>
          <w:tcPr>
            <w:tcW w:type="dxa" w:w="2592"/>
          </w:tcPr>
          <w:p>
            <w:pPr>
              <w:spacing w:line="240" w:lineRule="auto"/>
            </w:pPr>
            <w:r>
              <w:rPr>
                <w:sz w:val="20"/>
              </w:rPr>
              <w:t>Wiesmann et al. (2017); Bilbao-Ubillos et al. (2024)</w:t>
            </w:r>
          </w:p>
        </w:tc>
        <w:tc>
          <w:tcPr>
            <w:tcW w:type="dxa" w:w="2592"/>
          </w:tcPr>
          <w:p>
            <w:pPr>
              <w:spacing w:line="240" w:lineRule="auto"/>
            </w:pPr>
            <w:r>
              <w:rPr>
                <w:sz w:val="20"/>
              </w:rPr>
              <w:t>Gupta et al. (2023)</w:t>
            </w:r>
          </w:p>
        </w:tc>
        <w:tc>
          <w:tcPr>
            <w:tcW w:type="dxa" w:w="2592"/>
          </w:tcPr>
          <w:p>
            <w:pPr>
              <w:spacing w:line="240" w:lineRule="auto"/>
            </w:pPr>
            <w:r>
              <w:rPr>
                <w:sz w:val="20"/>
              </w:rPr>
              <w:t>Yes — Pedroletti (single China→Italy case); others general</w:t>
            </w:r>
          </w:p>
        </w:tc>
      </w:tr>
      <w:tr>
        <w:tc>
          <w:tcPr>
            <w:tcW w:type="dxa" w:w="2592"/>
          </w:tcPr>
          <w:p>
            <w:pPr>
              <w:spacing w:line="240" w:lineRule="auto"/>
            </w:pPr>
            <w:r>
              <w:rPr>
                <w:sz w:val="20"/>
              </w:rPr>
              <w:t>GVC stickiness / offshore sunk-cost inertia</w:t>
            </w:r>
          </w:p>
        </w:tc>
        <w:tc>
          <w:tcPr>
            <w:tcW w:type="dxa" w:w="2592"/>
          </w:tcPr>
          <w:p>
            <w:pPr>
              <w:spacing w:line="240" w:lineRule="auto"/>
            </w:pPr>
            <w:r>
              <w:rPr>
                <w:sz w:val="20"/>
              </w:rPr>
              <w:t>—</w:t>
            </w:r>
          </w:p>
        </w:tc>
        <w:tc>
          <w:tcPr>
            <w:tcW w:type="dxa" w:w="2592"/>
          </w:tcPr>
          <w:p>
            <w:pPr>
              <w:spacing w:line="240" w:lineRule="auto"/>
            </w:pPr>
            <w:r>
              <w:rPr>
                <w:sz w:val="20"/>
              </w:rPr>
              <w:t>Bilbao-Ubillos et al. (2024)</w:t>
            </w:r>
          </w:p>
        </w:tc>
        <w:tc>
          <w:tcPr>
            <w:tcW w:type="dxa" w:w="2592"/>
          </w:tcPr>
          <w:p>
            <w:pPr>
              <w:spacing w:line="240" w:lineRule="auto"/>
            </w:pPr>
            <w:r>
              <w:rPr>
                <w:sz w:val="20"/>
              </w:rPr>
              <w:t>D'Ambrosio &amp; Lavoratori (2025)</w:t>
            </w:r>
          </w:p>
        </w:tc>
        <w:tc>
          <w:tcPr>
            <w:tcW w:type="dxa" w:w="2592"/>
          </w:tcPr>
          <w:p>
            <w:pPr>
              <w:spacing w:line="240" w:lineRule="auto"/>
            </w:pPr>
            <w:r>
              <w:rPr>
                <w:sz w:val="20"/>
              </w:rPr>
              <w:t>No</w:t>
            </w:r>
          </w:p>
        </w:tc>
      </w:tr>
      <w:tr>
        <w:tc>
          <w:tcPr>
            <w:tcW w:type="dxa" w:w="2592"/>
          </w:tcPr>
          <w:p>
            <w:pPr>
              <w:spacing w:line="240" w:lineRule="auto"/>
            </w:pPr>
            <w:r>
              <w:rPr>
                <w:sz w:val="20"/>
              </w:rPr>
              <w:t>Regional ecosystem readiness</w:t>
            </w:r>
          </w:p>
        </w:tc>
        <w:tc>
          <w:tcPr>
            <w:tcW w:type="dxa" w:w="2592"/>
          </w:tcPr>
          <w:p>
            <w:pPr>
              <w:spacing w:line="240" w:lineRule="auto"/>
            </w:pPr>
            <w:r>
              <w:rPr>
                <w:sz w:val="20"/>
              </w:rPr>
              <w:t>Pegoraro et al. (2022)</w:t>
            </w:r>
          </w:p>
        </w:tc>
        <w:tc>
          <w:tcPr>
            <w:tcW w:type="dxa" w:w="2592"/>
          </w:tcPr>
          <w:p>
            <w:pPr>
              <w:spacing w:line="240" w:lineRule="auto"/>
            </w:pPr>
            <w:r>
              <w:rPr>
                <w:sz w:val="20"/>
              </w:rPr>
              <w:t>Bilbao-Ubillos et al. (2024)</w:t>
            </w:r>
          </w:p>
        </w:tc>
        <w:tc>
          <w:tcPr>
            <w:tcW w:type="dxa" w:w="2592"/>
          </w:tcPr>
          <w:p>
            <w:pPr>
              <w:spacing w:line="240" w:lineRule="auto"/>
            </w:pPr>
            <w:r>
              <w:rPr>
                <w:sz w:val="20"/>
              </w:rPr>
              <w:t>—</w:t>
            </w:r>
          </w:p>
        </w:tc>
        <w:tc>
          <w:tcPr>
            <w:tcW w:type="dxa" w:w="2592"/>
          </w:tcPr>
          <w:p>
            <w:pPr>
              <w:spacing w:line="240" w:lineRule="auto"/>
            </w:pPr>
            <w:r>
              <w:rPr>
                <w:sz w:val="20"/>
              </w:rPr>
              <w:t>Yes — Pegoraro et al. (single case)</w:t>
            </w:r>
          </w:p>
        </w:tc>
      </w:tr>
    </w:tbl>
    <w:p>
      <w:pPr>
        <w:sectPr>
          <w:pgSz w:w="15840" w:h="12240" w:orient="landscape"/>
          <w:pgMar w:top="1440" w:right="1440" w:bottom="1440" w:left="1440" w:header="720" w:footer="720" w:gutter="0"/>
          <w:cols w:space="720"/>
          <w:docGrid w:linePitch="360"/>
        </w:sectPr>
      </w:pPr>
    </w:p>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rather than full reshoring functioned as a response to the practical impossibility of fully replacing the Chinese network. The gap concerned this specific, specialised capability rather than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In summary, this chapter has reported eighteen barrier themes across the four categories of the framework.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The following chapter interprets these findings, connects them to the theoretical perspectives of the thesis, and derives managerial implications.</w:t>
      </w:r>
    </w:p>
    <w:p>
      <w:r>
        <w:br w:type="page"/>
      </w:r>
    </w:p>
    <w:p>
      <w:pPr>
        <w:pStyle w:val="Heading1"/>
      </w:pPr>
      <w:r>
        <w:t>5 Discussion</w:t>
      </w:r>
    </w:p>
    <w:p>
      <w:r>
        <w:t>The previous chapter reported eighteen barrier themes across the four categories of the firm-level framework. This chapter moves from reporting to interpretation. It examines what the identified barriers mean for firms attempting to return production from Asian host countries, how the barriers relate to and reinforce one another, and why the pattern of evidence looks the way it does. The findings are then read through the two theoretical lenses of the thesis, Transaction Cost Economics and the Resource-Based View, in order to explain the underlying mechanisms rather than merely restate the observations. On this basis, the chapter derives managerial implications organised along the stages of the implementation process, before closing with an honest account of the limitations of the review and the research directions that follow from them. Throughout, interpretations developed by this thesis are distinguished from findings stated by the original studies, and direct implementation evidence is given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interact rather than operate independently.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rather than Asia, so this interpretation describes a general implementation mechanism rather than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suggests under-observation rather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while through an RBV lens it marks a capability the firm never internalised.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presented here as evidence-based considerations rather than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should be treated as one case's experience rather than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rather than a transition phase, and should assess how the relationship with remaining suppliers will be maintained as volumes change, given the adverse supplier response observed when interaction declined.</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rather than under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r>
        <w:br w:type="page"/>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Closely linked to this is dependence on specialised host-country suppliers, which in the documented case evidence constrained not only how a return was carried out but how much of it was possible at all. These capability-side difficulties are compounded by underestimated operational adjustments and organisational readiness gaps, by the new fixed and coordination costs that a return generates, and, less visibly but persistently, by host-country exit constraints such as layoff regulations and closure obligations.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Tables 1–4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rather than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rather than a temporary one.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The framework is therefore best understood as a structured map of what the current literature shows, organised with reasonable confidence, rather than as a ranking of universal obstacles or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r>
        <w:br w:type="page"/>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r>
        <w:br w:type="page"/>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Verification and Asia-specificity qualifications are given in Tables 1–4 (Chapter 4, Sections 4.2–4.5).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