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that is dispersed across the existing literature. A systematic review is suitable because it addresses a bounded research question through an explicit and structured process of searching, selecting, and analysing literature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search was conducted iteratively between late June and July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have its full text available online,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concerned exclusively with China+1 strategies, re-offshoring, nearshoring without a return home, or foreign-to-foreign relocation were excluded from barrier coding, although some are used as contextual sources in the Introduction and Discussion. The eligibility process is summarised in Figure 1.</w:t>
      </w:r>
    </w:p>
    <w:p>
      <w:pPr>
        <w:spacing w:line="240" w:lineRule="auto"/>
        <w:jc w:val="center"/>
      </w:pPr>
      <w:r>
        <w:drawing>
          <wp:inline xmlns:a="http://schemas.openxmlformats.org/drawingml/2006/main" xmlns:pic="http://schemas.openxmlformats.org/drawingml/2006/picture">
            <wp:extent cx="5669280" cy="5235114"/>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5235114"/>
                    </a:xfrm>
                    <a:prstGeom prst="rect"/>
                  </pic:spPr>
                </pic:pic>
              </a:graphicData>
            </a:graphic>
          </wp:inline>
        </w:drawing>
      </w:r>
    </w:p>
    <w:p>
      <w:pPr>
        <w:pStyle w:val="FigureCaption"/>
      </w:pPr>
      <w:r>
        <w:rPr>
          <w:b/>
        </w:rPr>
        <w:t>Figure 1.</w:t>
      </w:r>
      <w:r>
        <w:t xml:space="preserve"> </w:t>
      </w:r>
      <w:r>
        <w:rPr>
          <w:i/>
        </w:rPr>
        <w:t>Flow diagram of the study-selection process, reported following PRISMA 2020 principles.</w:t>
      </w:r>
    </w:p>
    <w:p>
      <w:r>
        <w:t>The full texts of 34 sources were assessed. Of these, 21 peer-reviewed studies met all eligibility criteria and form the analytical sample used for barrier coding. A further twelve are cited elsewhere in the thesis as contextual background (Introduction and Discussion) or as methodological guidance for the review design (Snyder, 2019; Thomas &amp; Harden, 2008; Mayring, 2014); none of these twelve were coded for barrier evidence. The remaining source did not meet the relevance criteria and was not used further. Two additional works, Williamson (1985) and Barney (1991), are cited separately in Chapter 2 and Chapter 5 as foundational theoretical literature and were not part of this review process.</w:t>
      </w:r>
    </w:p>
    <w:p>
      <w:r>
        <w:t>Each included study was also noted for the type of evidence it provides — direct empirical, review-based, or conceptual — and for whether it explicitly links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&amp;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records are provided in the Appendix.</w:t>
      </w:r>
    </w:p>
    <w:p>
      <w:r>
        <w:t>Two coding rules were applied consistently. Direct empirical findings, review-reported findings, and conceptual arguments were coded and reported as separate evidence types rather than combined into a single count, since they carry different evidential weight.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