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jc w:val="center"/>
      </w:pPr>
      <w:r>
        <w:rPr>
          <w:b/>
          <w:sz w:val="32"/>
        </w:rPr>
        <w:t>BACHELOR THESIS</w:t>
      </w:r>
    </w:p>
    <w:p>
      <w:pPr>
        <w:spacing w:before="0" w:after="200"/>
        <w:jc w:val="center"/>
      </w:pPr>
      <w:r>
        <w:rPr>
          <w:b w:val="0"/>
          <w:sz w:val="24"/>
        </w:rPr>
        <w:t>Title of the Bachelor‘s Thesis</w:t>
      </w:r>
    </w:p>
    <w:p>
      <w:pPr>
        <w:spacing w:before="0" w:after="0"/>
        <w:jc w:val="center"/>
      </w:pPr>
      <w:r>
        <w:rPr>
          <w:b/>
          <w:sz w:val="28"/>
        </w:rPr>
        <w:t>BARRIERS TO RESHORING FROM ASIAN MARKETS:</w:t>
      </w:r>
    </w:p>
    <w:p>
      <w:pPr>
        <w:spacing w:before="0" w:after="800"/>
        <w:jc w:val="center"/>
      </w:pPr>
      <w:r>
        <w:rPr>
          <w:b/>
          <w:sz w:val="28"/>
        </w:rPr>
        <w:t>A SYSTEMATIC LITERATURE REVIEW</w:t>
      </w:r>
    </w:p>
    <w:p>
      <w:pPr>
        <w:spacing w:before="0" w:after="120"/>
        <w:jc w:val="center"/>
      </w:pPr>
      <w:r>
        <w:rPr>
          <w:b w:val="0"/>
          <w:sz w:val="24"/>
        </w:rPr>
        <w:t>verfasst von / submitted by</w:t>
      </w:r>
    </w:p>
    <w:p>
      <w:pPr>
        <w:spacing w:before="0" w:after="0"/>
        <w:jc w:val="center"/>
      </w:pPr>
      <w:r>
        <w:rPr>
          <w:b/>
          <w:sz w:val="24"/>
        </w:rPr>
        <w:t>Serdiuk Aleksandra</w:t>
      </w:r>
    </w:p>
    <w:p>
      <w:pPr>
        <w:spacing w:before="0" w:after="800"/>
        <w:jc w:val="center"/>
      </w:pPr>
      <w:r>
        <w:rPr>
          <w:b w:val="0"/>
          <w:sz w:val="24"/>
        </w:rPr>
        <w:t>12045860</w:t>
      </w:r>
    </w:p>
    <w:p>
      <w:pPr>
        <w:spacing w:before="0" w:after="800"/>
        <w:jc w:val="center"/>
      </w:pPr>
      <w:r>
        <w:rPr>
          <w:b w:val="0"/>
          <w:sz w:val="24"/>
        </w:rPr>
        <w:t>Vienna, July 2026</w:t>
      </w:r>
    </w:p>
    <w:p>
      <w:pPr>
        <w:spacing w:before="0" w:after="80"/>
        <w:jc w:val="center"/>
      </w:pPr>
      <w:r>
        <w:rPr>
          <w:b w:val="0"/>
          <w:sz w:val="22"/>
        </w:rPr>
        <w:t>Studienrichtung lt. Studienblatt / degree programme as it appears on the student record sheet:</w:t>
      </w:r>
    </w:p>
    <w:p>
      <w:pPr>
        <w:spacing w:before="0" w:after="400"/>
        <w:jc w:val="center"/>
      </w:pPr>
      <w:r>
        <w:rPr>
          <w:b w:val="0"/>
          <w:sz w:val="24"/>
        </w:rPr>
        <w:t>Bachelorstudium Internationale Betriebswirtschaft</w:t>
      </w:r>
    </w:p>
    <w:p>
      <w:pPr>
        <w:spacing w:before="0" w:after="120"/>
        <w:jc w:val="center"/>
      </w:pPr>
      <w:r>
        <w:rPr>
          <w:b w:val="0"/>
          <w:sz w:val="24"/>
        </w:rPr>
        <w:t>Betreut von / Supervisor: Dr. Aveed Raha</w:t>
      </w:r>
    </w:p>
    <w:p>
      <w:r>
        <w:br w:type="page"/>
      </w:r>
    </w:p>
    <w:p>
      <w:pPr>
        <w:pStyle w:val="Heading1"/>
      </w:pPr>
      <w:r>
        <w:t>Acknowledgments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r>
        <w:br w:type="page"/>
      </w:r>
    </w:p>
    <w:p>
      <w:pPr>
        <w:pStyle w:val="Heading1"/>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r>
        <w:br w:type="page"/>
      </w:r>
    </w:p>
    <w:p>
      <w:pPr>
        <w:pStyle w:val="Heading1"/>
      </w:pPr>
      <w:r>
        <w:t>Table of Contents</w:t>
      </w:r>
    </w:p>
    <w:p>
      <w:r>
        <w:fldChar w:fldCharType="begin" w:dirty="true"/>
      </w:r>
      <w:r>
        <w:instrText xml:space="preserve"> TOC \o "1-3" \h \z \u </w:instrText>
      </w:r>
      <w:r>
        <w:fldChar w:fldCharType="separate"/>
      </w:r>
      <w:r>
        <w:t xml:space="preserve">Right-click and choose "Update Field" to generate the Table of Contents.</w:t>
      </w:r>
      <w:r>
        <w:fldChar w:fldCharType="end"/>
      </w:r>
    </w:p>
    <w:p>
      <w:pPr>
        <w:pStyle w:val="Heading1"/>
      </w:pPr>
      <w:r>
        <w:t>List of Figures</w:t>
      </w:r>
    </w:p>
    <w:p>
      <w:r>
        <w:fldChar w:fldCharType="begin" w:dirty="true"/>
      </w:r>
      <w:r>
        <w:instrText xml:space="preserve"> TOC \h \z \t "FigureCaption,1" </w:instrText>
      </w:r>
      <w:r>
        <w:fldChar w:fldCharType="separate"/>
      </w:r>
      <w:r>
        <w:t xml:space="preserve">Right-click and choose "Update Field" to generate the List of Figures.</w:t>
      </w:r>
      <w:r>
        <w:fldChar w:fldCharType="end"/>
      </w:r>
    </w:p>
    <w:p>
      <w:pPr>
        <w:pStyle w:val="Heading1"/>
      </w:pPr>
      <w:r>
        <w:t>List of Tables</w:t>
      </w:r>
    </w:p>
    <w:p>
      <w:r>
        <w:fldChar w:fldCharType="begin" w:dirty="true"/>
      </w:r>
      <w:r>
        <w:instrText xml:space="preserve"> TOC \h \z \t "TableCaption,1" </w:instrText>
      </w:r>
      <w:r>
        <w:fldChar w:fldCharType="separate"/>
      </w:r>
      <w:r>
        <w:t xml:space="preserve">Right-click and choose "Update Field" to generate the List of Tables.</w:t>
      </w:r>
      <w:r>
        <w:fldChar w:fldCharType="end"/>
      </w:r>
    </w:p>
    <w:p>
      <w:r>
        <w:br w:type="page"/>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Firm-level research also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r>
        <w:br w:type="page"/>
      </w:r>
    </w:p>
    <w:p>
      <w:pPr>
        <w:pStyle w:val="Heading1"/>
      </w:pPr>
      <w:r>
        <w:t>2 Literature Review</w:t>
      </w:r>
    </w:p>
    <w:p>
      <w:r>
        <w:t>This chapter lays the conceptual and theoretical groundwork for the study. It clarifies the concept of reshoring and differentiates it from other types of manufacturing relocation, presents the two theoretical lenses through which the results are interpreted, distinguishes between the drivers of reshoring and the barriers to reshoring, and outlines the research gap that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is consistent with this logic. Strict host-country layoff regulations and locked investments make it difficult to exit the host country quickly (Li et al., 2025). Plant-closure fees and fiscal obligations are also reported in the review literature (Di Stefano &amp; Fratocchi, 2019). A further cost arises from the coordination burden that appears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Firms are also reported to underestimate the operational adjustments that relocation requires (Boffelli et al., 2021).</w:t>
      </w:r>
    </w:p>
    <w:p>
      <w:r>
        <w:t>The Resource-Based View — the theory that competitive advantage rests on resources that are valuable, rare, imperfectly imitable and non-substitutable (Barney, 1991) — provides insights on the arrival side of implementation; as with TCE, this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is one recurring theme (Wiesmann et al., 2017). Reshoring firms also face a lack of specialised manpower (Di Mauro et al., 2018). Case evidence further documents the need to rebuild machinery, tooling, and workforce skills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Offshoring is concluded to be primarily motivated by cost reduction, while backshoring typically occurs as a result of a strategic reorientation towards customer perceived value, and the return is not necessarily a managerial error, but rather a strategic evolution (Di Mauro et al., 2018). Quantitative firm-level evidence links reshoring decisions to home-country conditions (Wan et al., 2019). Other quantitative evidence links reshoring decisions to Industry 4.0 adoption, pandemic experience, and made-in effects (Stentoft et al., 2025). Survey and case research has also explored the link between digital-technology adoption and backshoring decisions (Kamp &amp; Gibaja, 2021). A quantitative survey of Finnish manufacturers similarly links firm characteristics and technology intensity to the decision to backshore (Heikkilä et al., 2018), and expert-based decision analysis has examined the criteria apparel firms weigh when considering reshoring (Pourhejazy &amp; Ashby,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comes from four relocation cases in the fashion sector, analysed to differentiate between decision-making mistakes and implementation mistakes (Boffelli et al., 2021).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a literature review that classifies both drivers and barriers into five sets of dynamics: global competitive dynamics, home-country, host-country, supply-chain and firm-specific factors (Wiesmann et al., 2017).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(Mirzaei et al., 2021), which any repatriating firm will inherit.</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Although Asia is the primary offshore manufacturing destination (Gao et al., 2022), most studies report barriers at the sample level, and do not differentiate between barriers that relate to the return from Asian host countries. There are a few cases of direct implementation evidence. One is a China-to-UK case that documents skills, machinery and ramp-up difficulties (Pegoraro et al., 2022). Another is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together that evidence in a systematic review, which is described in the next chapter.</w:t>
      </w:r>
    </w:p>
    <w:p>
      <w:r>
        <w:br w:type="page"/>
      </w:r>
    </w:p>
    <w:p>
      <w:pPr>
        <w:pStyle w:val="Heading1"/>
      </w:pPr>
      <w:r>
        <w:t>3 Research Methodology</w:t>
      </w:r>
    </w:p>
    <w:p>
      <w:r>
        <w:t>This chapter outlines the design of the study: the rationale for conducting a systematic literature review, how the literature was searched and screened, and how the included studies were analysed and coded into the firm-level barrier framework. Methodological limitations are discussed together with the findings they qualify in Section 5.4.</w:t>
      </w:r>
    </w:p>
    <w:p>
      <w:pPr>
        <w:pStyle w:val="Heading2"/>
      </w:pPr>
      <w:r>
        <w:t>3.1 Research Design</w:t>
      </w:r>
    </w:p>
    <w:p>
      <w:r>
        <w:t>This thesis adopts a systematic literature review (SLR) as its research design. This design is appropriate because the study seeks to identify the barriers encountered by manufacturing firms when implementing reshoring strategies from Asian markets and to examine the resulting managerial implications. These questions do not require the collection of new primary data. Instead, they can be addressed through a structured analysis and synthesis of evidence that is dispersed across the existing literature. A systematic review is suitable because it addresses a bounded research question through an explicit and structured process of searching, selecting, and analysing literature (Snyder, 2019).</w:t>
      </w:r>
    </w:p>
    <w:p>
      <w:r>
        <w:t>A literature review itself can be used as a research method, and there are three types of literature review — systematic, semi-systematic, and integrative — that can be used for a variety of purposes (Snyder, 2019). If a question is specific enough to be answered by locating and assessing a set of relevant studies using a set of criteria, then a systematic review is appropriate. The research question in the present research is specific and set at the firm level, which makes a systematic design the most suitable of the three, despite the methodological diversity of the evidence.</w:t>
      </w:r>
    </w:p>
    <w:p>
      <w:r>
        <w:t>No primary data were collected through interviews, surveys, or company observations. The analytical sample consists of previously published peer-reviewed studies. Their findings are synthesised into a firm-level framework of reshoring implementation barriers, following the broader use of literature-based synthesis in the reshoring field (Tsai &amp; Urmetzer, 2024). This design allows the research questions to be addressed directly while preserving the link between the resulting barrier themes and the studies supporting them.</w:t>
      </w:r>
    </w:p>
    <w:p>
      <w:pPr>
        <w:pStyle w:val="Heading2"/>
      </w:pPr>
      <w:r>
        <w:t>3.2 Data Collection Methods</w:t>
      </w:r>
    </w:p>
    <w:p>
      <w:r>
        <w:t>The literature search and study-selection process are reported with reference to the PRISMA 2020 guidelines (Page, McKenzie, et al., 2021; Page, Moher, et al., 2021). PRISMA is used here to present the stages of identification, screening, and inclusion, rather than as a method of evidence synthesis. Google Scholar was the only literature-discovery platform used. The search was conducted iteratively between late June and July 2026. It combined terms related to reshoring, backshoring, manufacturing reshoring, implementation barriers, Asia, capabilities, suppliers, and production transfer with backward and forward citation searching and the "related articles" feature.</w:t>
      </w:r>
    </w:p>
    <w:p>
      <w:r>
        <w:t>Records were manually screened for eligibility. A source had to be in English, have its full text available online, be peer-reviewed, relate to the return of previously offshored manufacturing activities to the firm's home country, and provide evidence relevant to the implementation of manufacturing reshoring. Asia-specificity was assessed separately, because not all studies explicitly identified the former host location. Studies concerned exclusively with China+1 strategies, re-offshoring, nearshoring without a return home, or foreign-to-foreign relocation were excluded from barrier coding, although some are used as contextual sources in the Introduction and Discussion. The eligibility process is summarised in Figure 1.</w:t>
      </w:r>
    </w:p>
    <w:p>
      <w:pPr>
        <w:spacing w:line="240" w:lineRule="auto"/>
        <w:jc w:val="center"/>
      </w:pPr>
      <w:r>
        <w:drawing>
          <wp:inline xmlns:a="http://schemas.openxmlformats.org/drawingml/2006/main" xmlns:pic="http://schemas.openxmlformats.org/drawingml/2006/picture">
            <wp:extent cx="5669280" cy="5235114"/>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5235114"/>
                    </a:xfrm>
                    <a:prstGeom prst="rect"/>
                  </pic:spPr>
                </pic:pic>
              </a:graphicData>
            </a:graphic>
          </wp:inline>
        </w:drawing>
      </w:r>
    </w:p>
    <w:p>
      <w:pPr>
        <w:pStyle w:val="FigureCaption"/>
      </w:pPr>
      <w:r>
        <w:rPr>
          <w:b/>
        </w:rPr>
        <w:t>Figure 1.</w:t>
      </w:r>
      <w:r>
        <w:t xml:space="preserve"> </w:t>
      </w:r>
      <w:r>
        <w:rPr>
          <w:i/>
        </w:rPr>
        <w:t>Flow diagram of the study-selection process, reported following PRISMA 2020 principles.</w:t>
      </w:r>
    </w:p>
    <w:p>
      <w:r>
        <w:t>The full texts of 34 sources were assessed. Of these, 21 peer-reviewed studies met all eligibility criteria and form the analytical sample used for barrier coding. A further twelve are cited elsewhere in the thesis as contextual background (Introduction and Discussion) or as methodological guidance for the review design (Snyder, 2019; Thomas &amp; Harden, 2008; Mayring, 2014); none of these twelve were coded for barrier evidence. The remaining source did not meet the relevance criteria and was not used further. Two additional works, Williamson (1985) and Barney (1991), are cited separately in Chapter 2 and Chapter 5 as foundational theoretical literature and were not part of this review process.</w:t>
      </w:r>
    </w:p>
    <w:p>
      <w:r>
        <w:t>Each included study was also noted for the type of evidence it provides — direct empirical, review-based, or conceptual — and for whether it explicitly links an Asian host location to a return home. These distinctions are used throughout the Results and Discussion chapters to interpret the evidence with appropriate care.</w:t>
      </w:r>
    </w:p>
    <w:p>
      <w:pPr>
        <w:pStyle w:val="Heading2"/>
      </w:pPr>
      <w:r>
        <w:t>3.3 Data Analysis Techniques</w:t>
      </w:r>
    </w:p>
    <w:p>
      <w:r>
        <w:t>The included studies were analysed using an adapted three-stage process for synthesising findings across studies (Thomas &amp; Harden, 2008). Findings from each study were first coded at the level of individual evidence segments. Related codes were then grouped into descriptive categories that stayed close to the original studies' own language. Finally, the descriptive categories were interpreted to produce higher-order analytical themes that answer the research questions.</w:t>
      </w:r>
    </w:p>
    <w:p>
      <w:r>
        <w:t>The coding followed a deductive-inductive logic (Mayring, 2014). An initial coding frame comprising four broad categories — regulatory/institutional, cultural/organisational, cost/operational, and asset/capability — was informed by the theoretical framework, the research questions, and the preliminary reading of the reshoring literature. Within these broad categories, specific barrier themes were then developed inductively from the content of the included studies, and category boundaries were refined where necessary.</w:t>
      </w:r>
    </w:p>
    <w:p>
      <w:r>
        <w:t>Table 1 illustrates this coding logic with three representative examples, tracing a finding from a source through to its framework category.</w:t>
      </w:r>
    </w:p>
    <w:p>
      <w:pPr>
        <w:pStyle w:val="TableCaption"/>
      </w:pPr>
      <w:r>
        <w:rPr>
          <w:b/>
        </w:rPr>
        <w:t>Table 1.</w:t>
      </w:r>
      <w:r>
        <w:t xml:space="preserve"> </w:t>
      </w:r>
      <w:r>
        <w:rPr>
          <w:i/>
        </w:rPr>
        <w:t>Illustration of the coding logic, from a source finding to its framework category.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Source finding</w:t>
            </w:r>
          </w:p>
        </w:tc>
        <w:tc>
          <w:tcPr>
            <w:tcW w:type="dxa" w:w="2340"/>
          </w:tcPr>
          <w:p>
            <w:pPr>
              <w:spacing w:line="240" w:lineRule="auto"/>
            </w:pPr>
            <w:r>
              <w:rPr>
                <w:b/>
                <w:sz w:val="20"/>
              </w:rPr>
              <w:t>Initial code</w:t>
            </w:r>
          </w:p>
        </w:tc>
        <w:tc>
          <w:tcPr>
            <w:tcW w:type="dxa" w:w="2340"/>
          </w:tcPr>
          <w:p>
            <w:pPr>
              <w:spacing w:line="240" w:lineRule="auto"/>
            </w:pPr>
            <w:r>
              <w:rPr>
                <w:b/>
                <w:sz w:val="20"/>
              </w:rPr>
              <w:t>Barrier theme</w:t>
            </w:r>
          </w:p>
        </w:tc>
        <w:tc>
          <w:tcPr>
            <w:tcW w:type="dxa" w:w="2340"/>
          </w:tcPr>
          <w:p>
            <w:pPr>
              <w:spacing w:line="240" w:lineRule="auto"/>
            </w:pPr>
            <w:r>
              <w:rPr>
                <w:b/>
                <w:sz w:val="20"/>
              </w:rPr>
              <w:t>Framework category</w:t>
            </w:r>
          </w:p>
        </w:tc>
      </w:tr>
      <w:tr>
        <w:tc>
          <w:tcPr>
            <w:tcW w:type="dxa" w:w="2340"/>
          </w:tcPr>
          <w:p>
            <w:pPr>
              <w:spacing w:line="240" w:lineRule="auto"/>
            </w:pPr>
            <w:r>
              <w:rPr>
                <w:sz w:val="20"/>
              </w:rPr>
              <w:t>The firm lacked the in-house knowledge to manufacture the part; training took about a year before quality was acceptable (Pegoraro et al., 2022)</w:t>
            </w:r>
          </w:p>
        </w:tc>
        <w:tc>
          <w:tcPr>
            <w:tcW w:type="dxa" w:w="2340"/>
          </w:tcPr>
          <w:p>
            <w:pPr>
              <w:spacing w:line="240" w:lineRule="auto"/>
            </w:pPr>
            <w:r>
              <w:rPr>
                <w:sz w:val="20"/>
              </w:rPr>
              <w:t>Loss of production know-how</w:t>
            </w:r>
          </w:p>
        </w:tc>
        <w:tc>
          <w:tcPr>
            <w:tcW w:type="dxa" w:w="2340"/>
          </w:tcPr>
          <w:p>
            <w:pPr>
              <w:spacing w:line="240" w:lineRule="auto"/>
            </w:pPr>
            <w:r>
              <w:rPr>
                <w:sz w:val="20"/>
              </w:rPr>
              <w:t>Domestic skilled-labour &amp; competence gap</w:t>
            </w:r>
          </w:p>
        </w:tc>
        <w:tc>
          <w:tcPr>
            <w:tcW w:type="dxa" w:w="2340"/>
          </w:tcPr>
          <w:p>
            <w:pPr>
              <w:spacing w:line="240" w:lineRule="auto"/>
            </w:pPr>
            <w:r>
              <w:rPr>
                <w:sz w:val="20"/>
              </w:rPr>
              <w:t>Asset/Capability</w:t>
            </w:r>
          </w:p>
        </w:tc>
      </w:tr>
      <w:tr>
        <w:tc>
          <w:tcPr>
            <w:tcW w:type="dxa" w:w="2340"/>
          </w:tcPr>
          <w:p>
            <w:pPr>
              <w:spacing w:line="240" w:lineRule="auto"/>
            </w:pPr>
            <w:r>
              <w:rPr>
                <w:sz w:val="20"/>
              </w:rPr>
              <w:t>Strict host-country layoff regulations were reported to delay firms' exit from the offshore location (Li et al., 2025)</w:t>
            </w:r>
          </w:p>
        </w:tc>
        <w:tc>
          <w:tcPr>
            <w:tcW w:type="dxa" w:w="2340"/>
          </w:tcPr>
          <w:p>
            <w:pPr>
              <w:spacing w:line="240" w:lineRule="auto"/>
            </w:pPr>
            <w:r>
              <w:rPr>
                <w:sz w:val="20"/>
              </w:rPr>
              <w:t>Host-country exit constraint</w:t>
            </w:r>
          </w:p>
        </w:tc>
        <w:tc>
          <w:tcPr>
            <w:tcW w:type="dxa" w:w="2340"/>
          </w:tcPr>
          <w:p>
            <w:pPr>
              <w:spacing w:line="240" w:lineRule="auto"/>
            </w:pPr>
            <w:r>
              <w:rPr>
                <w:sz w:val="20"/>
              </w:rPr>
              <w:t>Host-country exit regulation</w:t>
            </w:r>
          </w:p>
        </w:tc>
        <w:tc>
          <w:tcPr>
            <w:tcW w:type="dxa" w:w="2340"/>
          </w:tcPr>
          <w:p>
            <w:pPr>
              <w:spacing w:line="240" w:lineRule="auto"/>
            </w:pPr>
            <w:r>
              <w:rPr>
                <w:sz w:val="20"/>
              </w:rPr>
              <w:t>Regulatory/Institutional</w:t>
            </w:r>
          </w:p>
        </w:tc>
      </w:tr>
      <w:tr>
        <w:tc>
          <w:tcPr>
            <w:tcW w:type="dxa" w:w="2340"/>
          </w:tcPr>
          <w:p>
            <w:pPr>
              <w:spacing w:line="240" w:lineRule="auto"/>
            </w:pPr>
            <w:r>
              <w:rPr>
                <w:sz w:val="20"/>
              </w:rPr>
              <w:t>Reduced order volumes weakened the relationship with the Chinese supplier during a partial return (Pedroletti, 2025)</w:t>
            </w:r>
          </w:p>
        </w:tc>
        <w:tc>
          <w:tcPr>
            <w:tcW w:type="dxa" w:w="2340"/>
          </w:tcPr>
          <w:p>
            <w:pPr>
              <w:spacing w:line="240" w:lineRule="auto"/>
            </w:pPr>
            <w:r>
              <w:rPr>
                <w:sz w:val="20"/>
              </w:rPr>
              <w:t>Deteriorating supplier relationship</w:t>
            </w:r>
          </w:p>
        </w:tc>
        <w:tc>
          <w:tcPr>
            <w:tcW w:type="dxa" w:w="2340"/>
          </w:tcPr>
          <w:p>
            <w:pPr>
              <w:spacing w:line="240" w:lineRule="auto"/>
            </w:pPr>
            <w:r>
              <w:rPr>
                <w:sz w:val="20"/>
              </w:rPr>
              <w:t>Adverse host-supplier relational response</w:t>
            </w:r>
          </w:p>
        </w:tc>
        <w:tc>
          <w:tcPr>
            <w:tcW w:type="dxa" w:w="2340"/>
          </w:tcPr>
          <w:p>
            <w:pPr>
              <w:spacing w:line="240" w:lineRule="auto"/>
            </w:pPr>
            <w:r>
              <w:rPr>
                <w:sz w:val="20"/>
              </w:rPr>
              <w:t>Cultural/Organisational</w:t>
            </w:r>
          </w:p>
        </w:tc>
      </w:tr>
    </w:tbl>
    <w:p>
      <w:r>
        <w:t>Applying this logic across the included studies produced eighteen barrier themes grouped under the four framework categories. The full set of themes, together with the evidence type and Asia-specificity of the supporting studies, is presented in Chapter 4 (Table 2); the detailed source-by-source coding records are provided in the Appendix.</w:t>
      </w:r>
    </w:p>
    <w:p>
      <w:r>
        <w:t>Two coding rules were applied consistently. Direct empirical findings, review-reported findings, and conceptual arguments were coded and reported as separate evidence types rather than combined into a single count, since they carry different evidential weight. A motive for considering reshoring — such as geopolitical tension or rising wages — was coded as an implementation barrier only where a study showed that it also hindered the implementation process itself.</w:t>
      </w:r>
    </w:p>
    <w:p>
      <w:r>
        <w:t>The next chapter presents the eighteen barrier themes identified through this process and organises them within the four categories of the firm-level framework.</w:t>
      </w:r>
    </w:p>
    <w:p>
      <w:r>
        <w:br w:type="page"/>
      </w:r>
    </w:p>
    <w:p>
      <w:pPr>
        <w:pStyle w:val="Heading1"/>
      </w:pPr>
      <w:r>
        <w:t>4 Results</w:t>
      </w:r>
    </w:p>
    <w:p>
      <w:r>
        <w:t>This chapter presents the reshoring implementation barriers from the reviewed literature, first the evidence base on which the synthesis is based, followed by the evidence synthesized category-wise, and finally, the evidence that appears to have the broadest acceptance in the reviewed literature, namely the asset/capability barriers.</w:t>
      </w:r>
    </w:p>
    <w:p>
      <w:pPr>
        <w:pStyle w:val="Heading2"/>
      </w:pPr>
      <w:r>
        <w:t>4.1 Overview of the Analytical Sample and Barrier Landscape</w:t>
      </w:r>
    </w:p>
    <w:p>
      <w:r>
        <w:t>The barrier synthesis is based on a formal analytical sample of 21 sources described in Chapter 3. Fourteen of these sources provide direct barrier evidence and are coded in Table 1 and Table 2; a fifteenth source (Robinson &amp; Hsieh, 2016) is represented only as contextual evidence on drivers and strategic renewal, not as a barrier-theme entry, and a sixteenth (Tsai &amp; Urmetzer, 2024) is used solely as a basis for terminology and frameworks, not for barrier evidence.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and two auxiliary empirical studies (Di Mauro et al., 2018; Mirzaei et al., 2021). A third supporting empirical study (Robinson &amp; Hsieh, 2016) provides only contextual evidence. The evidence from literature is derived from six sources (Pedroletti &amp; Ciabuschi, 2023; Wiesmann et al., 2017; Espíndola et al., 2023; Di Stefano &amp; Fratocchi, 2019; Ocicka, 2016; Bilbao-Ubillos et al., 2024), while conceptual argument comes from two further sources (D'Ambrosio &amp; Lavoratori, 2025; Gupta et al., 2023). The types are listed separately in each section, to avoid consolidating them into a single frequency since the evidential weight of a case observation is different from that of a review finding, or a conceptual argument. Both the two main empirical studies (Pegoraro et al., 2022; Pedroletti, 2025) have a single case design and the results are presented as case studies, not generalisations.</w:t>
      </w:r>
    </w:p>
    <w:p>
      <w:r>
        <w:t>There are few examples of direct implementation evidence specific to Asia. It is based on two single cases. The first concerns a case from China to UK (Pegoraro et al., 2022). The second concerns a partial reshoring from China to Italy (Pedroletti, 2025). Two of the four case firms moved production out of China in the multi-case study, although the findings are not always attributed to the individual cases (Di Mauro et al., 2018). The four fashion cases are, by contrast, Romanian, Moroccan, Croatian and Hungarian host-areas, so the results of this implementation enter the synthesis as general, rather than Asia-specific, evidence (Boffelli et al., 2021). The Nordic/Swedish evidence is likewise presented as general, except that China is specifically named among the host locations affected by strict layoff regulations (Li et al., 2025; see Section 4.2).</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&amp;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&amp;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&amp;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&amp;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&amp;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&amp;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&amp;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is one such weakness (Wiesmann et al., 2017). Conceptually, a managerial-capability gap has also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included studies.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and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 automation-scale threshold has also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The erosion of domestic supplier networks is also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Switching and reconfiguration costs, including duplicate operations during the transition, are also identified as a further cost barrier at the conceptual level (Gupta et al., 2023). These new costs of the return are in addition to the sunk costs of the offshore operation, which are reported separately in Section 4.5.</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in a related survey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(Pedroletti, 2025),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reviewed literature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 domestic skilled-labour shortage — loss of tacit knowledge, lack of core manufacturing competencies, and high training time and cost — was also found among Swedish firms in a related study (Mirzaei et al., 2021). A lack of specialised manpower and loss of domestic competences are also identified as constraints in implementing the return (Di Mauro et al., 2018). At the review level, a shortage of skilled labour is one reported constraint (Wiesmann et al., 2017). A technical-skills shortage and a generational manufacturing-skills gap are reported similarly (Ocicka, 2016). Review evidence also points to a digital technical-skills shortage (Bilbao-Ubillos et al., 2024). A domestic skilled-workforce shortage is argued conceptually (D'Ambrosio &amp; Lavoratori, 2025). A domestic labour-availability gap is argued on the same conceptual grounds (Gupta et al., 2023).</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 domestic production-capacity gap — insufficient facilities, equipment limits, and investment resources — was also reported in a related study of Swedish firms (Mirzaei et al., 2021). The review literature documents a domestic capacity shortage and an infrastructure lock-out after a long period of offshoring (Wiesmann et al., 2017). The theme is also mentioned conceptually in the new-fixed-costs argument (D'Ambrosio &amp; Lavoratori, 2025). A domestic infrastructure gap is separately noted on similar conceptual grounds (Gupta et al., 2023).</w:t>
      </w:r>
    </w:p>
    <w:p>
      <w:r>
        <w:t>Capability constraints are not just within the firm's boundaries: specialised capabilities that are located with the host-country supplier may be hard to repatriate. In the China-to-Italy case (Pedroletti, 2025), the inability to fully replace the Chinese network was the reason for partial reshoring, as the firm lacked the production knowledge, experience with the components, specialised sourcing skills, and suitable domestic suppliers.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is reported (Wiesmann et al., 2017). Offshore knowledge dependence is reported similarly (Bilbao-Ubillos et al., 2024). Knowledge-transfer ambiguity — knowledge residing with offshore employees, subsidiaries, suppliers, or the host-country network — is identified at the conceptual level (Gupta et al., 2023).</w:t>
      </w:r>
    </w:p>
    <w:p>
      <w:r>
        <w:t>Established value chains also exhibit inertia. Offshore sunk-cost inertia is reported at review level (Bilbao-Ubillos et al., 2024). Value chains are also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in Section 4.4.</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The results of these are interpreted in Chapter 5.</w:t>
      </w:r>
    </w:p>
    <w:p>
      <w:r>
        <w:br w:type="page"/>
      </w:r>
    </w:p>
    <w:p>
      <w:pPr>
        <w:pStyle w:val="Heading1"/>
      </w:pPr>
      <w:r>
        <w:t>5 Discussion</w:t>
      </w:r>
    </w:p>
    <w:p>
      <w:r>
        <w:t>This chapter is an interpretation of the eighteen barrier themes reported in Chapter 4, what they mean for firms returning production from Asian host countries, how they reinforce one another, and what follows from them theoretically and managerially. Interpretations made by this thesis are differentiated from findings reported by the original studies throughout, and evidence of direct implementation is given more analytical weight than evidence at the review level or conceptual level.</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(Pegoraro et al., 2022), a single acquisition decision was followed by a twelve-month capability-building process, providing a more tangible example than any overall finding of the need for a separate analysis of the implementation stage. The general empirical evidence is in the same direction. Even after the reshoring decision, Swedish companies faced challenges related to lack of skills, equipment, and capacity (Li et al., 2025; Mirzaei et al., 2021). Reshoring companies in labour-intensive sectors also experienced a shortage of skilled workforce (Di Mauro et al., 2018). The same cluster is found in review-level syntheses in the broader literature (Wiesmann et al., 2017; Ocicka, 2016). These results, however, are presented at the level of the Swedish sample and not disaggregated by host country (Li et al., 2025);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The conceptual literature refers to the same asymmetry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is an automotive supplier that returned from China to the United Kingdom (Pegoraro et al., 2022). The other is a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They are also mentioned in the review literature (Di Stefano &amp; Fratocchi, 2019), suggesting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are one price of dismantling governance structures built around specific assets (Li et al., 2025). The closure fees and layoff constraints reported in the review literature are another (Di Stefano &amp; Fratocchi, 2019). So are the contractual and intellectual-property constraints that prevent a firm from simply relocating production it does not fully control (Li et al., 2025).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not because they were negligent, but because they could not have all the information required to make a full ex ante calculation of an implementation process (Boffelli et al., 2021). The same logic explains why firms faced cost surprises when relocating (Li et al., 2025).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The general evidence on skills shortages, generational knowledge loss, and supplier-network gaps shows the same logic at sample level (Di Mauro et al., 2018; Mirzaei et al., 2021; Ocicka, 2016). The availability of skilled labour, specialised suppliers, and supporting institutions in the home region (Pegoraro et al., 2022) acts as a complementary resource endowment that individual firms can access but not produce on their own, which also sheds light on the regional ecosystem findings.</w:t>
      </w:r>
    </w:p>
    <w:p>
      <w:r>
        <w:t>The two views are most effective when used together, as several barriers are both transaction-cost and capability issues. The most obvious example is host-supplier dependence. From a TCE perspective, it involves switching costs and a hold-up risk (Williamson, 1985). From an RBV perspective, it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The education-system mismatch is also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Data on cost miscalculation indicate that companies plan the visible part of the transaction — equipment, freight, facilities — while underestimating transition costs and ramp-up losses (Li et al., 2025). Underestimated operational adjustments point to the same pattern, with coordination burdens also overlooked (Boffelli et al., 2021). The total-cost-of-acquisition logic of the reshoring literature is applicable to leaving Asia as much as it is to going there (Ocicka, 2016).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The literature review also includes closure fees, fiscal requirements, and the social aspect of plant closure (Di Stefano &amp; Fratocchi, 2019). The exit costs and timelines should be considered as a separate budget line by a firm that is considering reshoring, and, where the evidence on employee and stakeholder reactions is taken seriously (Di Stefano &amp; Fratocchi, 2019), the communication and treatment of the offshore workforce should be planned as a part of the implementation, not as an afterthought.</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The domestic supplier base might have been diluted over the offshoring years (Ocicka, 2016; Mirzaei et al., 2021). Supplier mapping and early involvement in the ecosystem of the home region — including training institutions, equipment suppliers, and industrial-support organisations — are therefore suggested, since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suggests the importance of cross-functional coordination — the introduction of production, sourcing, product development, and finance into the reshoring programme early — and the need to treat the return as an organisational change project, rather than a logistics exercise (Boffelli et al., 2021). The evidence of internal silos and poor employee engagement in domestic manufacturing points in the same direction (Mirzaei et al., 2021).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and an automation-dependent reshoring strategy must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and the initial search was exploratory and iterative and was not guided by a prospectively documented protocol, and the review was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included studies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the conceptual literature indicates that their reshoring is different in nature — done defensively and with less managerial resources (D'Ambrosio &amp; Lavoratori, 2025) — and most direct evidence is provided by established manufacturers. Lastly, the four-category framework derived here is a synthesis product and would be improved by quantitative testing on a larger sample of implementation cases, and the theoretical reading presented in Section 5.2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r>
        <w:br w:type="page"/>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This final chapter brings the analysis to a close, directly answers the research question and the two sub-questions, declares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along with the new fixed and coordination costs that a return brings (Boffelli et al., 2021). Less obviously but no less durably, they are exacerbated further by host-country exit constraints such as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Chapter 1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r>
        <w:br w:type="page"/>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r>
        <w:br w:type="page"/>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barrier coding summarised in Table 2 (Chapter 4, Section 4.1); Table 1 (Chapter 3, Section 3.3) illustrates the coding logic with representative examples rather than the full set of records.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18"/>
              </w:rPr>
              <w:t>Theme</w:t>
            </w:r>
          </w:p>
        </w:tc>
        <w:tc>
          <w:tcPr>
            <w:tcW w:type="dxa" w:w="2340"/>
          </w:tcPr>
          <w:p>
            <w:pPr>
              <w:spacing w:line="240" w:lineRule="auto"/>
            </w:pPr>
            <w:r>
              <w:rPr>
                <w:b/>
                <w:sz w:val="18"/>
              </w:rPr>
              <w:t>Framework category</w:t>
            </w:r>
          </w:p>
        </w:tc>
        <w:tc>
          <w:tcPr>
            <w:tcW w:type="dxa" w:w="2340"/>
          </w:tcPr>
          <w:p>
            <w:pPr>
              <w:spacing w:line="240" w:lineRule="auto"/>
            </w:pPr>
            <w:r>
              <w:rPr>
                <w:b/>
                <w:sz w:val="18"/>
              </w:rPr>
              <w:t>Source</w:t>
            </w:r>
          </w:p>
        </w:tc>
        <w:tc>
          <w:tcPr>
            <w:tcW w:type="dxa" w:w="2340"/>
          </w:tcPr>
          <w:p>
            <w:pPr>
              <w:spacing w:line="240" w:lineRule="auto"/>
            </w:pPr>
            <w:r>
              <w:rPr>
                <w:b/>
                <w:sz w:val="18"/>
              </w:rPr>
              <w:t>Evidence type</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 (core argument)</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(only where actual cost difficulties occurred)</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(labour cost named by all five firms)</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2.4</w:t>
            </w:r>
          </w:p>
        </w:tc>
        <w:tc>
          <w:tcPr>
            <w:tcW w:type="dxa" w:w="2340"/>
          </w:tcPr>
          <w:p>
            <w:pPr>
              <w:spacing w:line="240" w:lineRule="auto"/>
            </w:pPr>
            <w:r>
              <w:rPr>
                <w:sz w:val="18"/>
              </w:rPr>
              <w:t>Cost/Operational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2.5</w:t>
            </w:r>
          </w:p>
        </w:tc>
        <w:tc>
          <w:tcPr>
            <w:tcW w:type="dxa" w:w="2340"/>
          </w:tcPr>
          <w:p>
            <w:pPr>
              <w:spacing w:line="240" w:lineRule="auto"/>
            </w:pPr>
            <w:r>
              <w:rPr>
                <w:sz w:val="18"/>
              </w:rPr>
              <w:t>Cost/Operational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(top-rated barrier in study;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3.2</w:t>
            </w:r>
          </w:p>
        </w:tc>
        <w:tc>
          <w:tcPr>
            <w:tcW w:type="dxa" w:w="2340"/>
          </w:tcPr>
          <w:p>
            <w:pPr>
              <w:spacing w:line="240" w:lineRule="auto"/>
            </w:pPr>
            <w:r>
              <w:rPr>
                <w:sz w:val="18"/>
              </w:rPr>
              <w:t>Cultural/Organisational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3.3</w:t>
            </w:r>
          </w:p>
        </w:tc>
        <w:tc>
          <w:tcPr>
            <w:tcW w:type="dxa" w:w="2340"/>
          </w:tcPr>
          <w:p>
            <w:pPr>
              <w:spacing w:line="240" w:lineRule="auto"/>
            </w:pPr>
            <w:r>
              <w:rPr>
                <w:sz w:val="18"/>
              </w:rPr>
              <w:t>Cultural/Organisational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3.4</w:t>
            </w:r>
          </w:p>
        </w:tc>
        <w:tc>
          <w:tcPr>
            <w:tcW w:type="dxa" w:w="2340"/>
          </w:tcPr>
          <w:p>
            <w:pPr>
              <w:spacing w:line="240" w:lineRule="auto"/>
            </w:pPr>
            <w:r>
              <w:rPr>
                <w:sz w:val="18"/>
              </w:rPr>
              <w:t>Cultural/Organisational</w:t>
            </w:r>
          </w:p>
        </w:tc>
        <w:tc>
          <w:tcPr>
            <w:tcW w:type="dxa" w:w="2340"/>
          </w:tcPr>
          <w:p>
            <w:pPr>
              <w:spacing w:line="240" w:lineRule="auto"/>
            </w:pPr>
            <w:r>
              <w:rPr>
                <w:sz w:val="18"/>
              </w:rPr>
              <w:t>Pedroletti &amp; Ciabuschi (2023)</w:t>
            </w:r>
          </w:p>
        </w:tc>
        <w:tc>
          <w:tcPr>
            <w:tcW w:type="dxa" w:w="2340"/>
          </w:tcPr>
          <w:p>
            <w:pPr>
              <w:spacing w:line="240" w:lineRule="auto"/>
            </w:pPr>
            <w:r>
              <w:rPr>
                <w:sz w:val="18"/>
              </w:rPr>
              <w:t>Review (reported as under-researched dimension / gap)</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China named among affected hosts)</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w:t>
            </w:r>
          </w:p>
        </w:tc>
      </w:tr>
      <w:tr>
        <w:tc>
          <w:tcPr>
            <w:tcW w:type="dxa" w:w="2340"/>
          </w:tcPr>
          <w:p>
            <w:pPr>
              <w:spacing w:line="240" w:lineRule="auto"/>
            </w:pPr>
            <w:r>
              <w:rPr>
                <w:sz w:val="18"/>
              </w:rPr>
              <w:t>4.2</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 (limited, context-dependent evidence)</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(education/industry skills mismatch)</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