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r>
        <w:br w:type="page"/>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r>
        <w:br w:type="page"/>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r>
        <w:br w:type="page"/>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set out to answer a question that the reshoring literature had left largely open: what stands in the way of manufacturing companies when they attempt to bring production back home from Asia after the decision to return has been made.</w:t>
      </w:r>
    </w:p>
    <w:p>
      <w:r>
        <w:t>The evidence reviewed identifies the rebuilding of domestic capability as the central obstacle. The skills, machinery, tooling, and the ecosystem of suppliers that were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capability-side challenges are worsened by the underestimation of operational changes and by organisational readiness gaps (Boffelli et al., 2021). The return also brings new fixed and coordination costs of its own (Li et al., 2025; Pedroletti, 2025). A less visible but lasting obstacle lies in host-country exit constraints such as layoff regulations and closure obligations (Li et al., 2025). The barriers are also interconnected. A capability gap may lead to operational and relational challenges, and poor organisational preparedness magnifies any other barriers that a firm faces. Implementation therefore emerges as a separate and demanding phase that cannot be taken for granted once the location decision is made.</w:t>
      </w:r>
    </w:p>
    <w:p>
      <w:r>
        <w:t>The barriers identified in the literature could be grouped into a systematic firm-level framework of four categories, regulatory/institutional, cultural/organisational, cost/operational, and asset/capability, comprising eighteen barrier themes. This framework, detailed in full in Table 2, brings together evidence previously reported in the literature in a single structure that is organised by the type of obstacle, independent of industry, country or individual study. It also shows where the evidence is strong and where it is thin. The asset/capability barriers have the most widespread and consistent support across evidence types, while the regulatory/institutional category has the least. This reflects the composition of the evidence base and should not be read as a final conclusion about the real-world significance of regulatory barriers.</w:t>
      </w:r>
    </w:p>
    <w:p>
      <w:r>
        <w:t>For management practice, the findings suggest that the identified barriers can be mitigated by tackling them at the point in the return process where they occur. Before commitment, a true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instead of being treated as incidental to the move. During transfer and rebuilding, capability should be planned as a system of machinery, tooling, software and workforce training, not as a single purchase. Wherever the supplier and training ecosystem has thinned, early engagement with the home region's ecosystem is indicated. If the reliance on Asian suppliers cannot be unwound rapidly, a phased or partial approach may reduce risk, but managers must then plan for cross-country coordination as a permanent operating state. A broader implication runs through all of these measures. Implementation capacity, understood as cross-functional coordination and organisational readiness, is a resource that firms should develop intentionally, as the evidence suggests that it is what makes the other barriers more or less harmful.</w:t>
      </w:r>
    </w:p>
    <w:p>
      <w:r>
        <w:t>The main contribution of this thesis is a comprehensive, firm-level framework of the barriers to reshoring implementation from Asian markets, which had previously been addressed in the literature in a piecemeal fashion, interpreted through the complementary lenses of Transaction Cost Economics and the Resource-Based View. Together, these two viewpoints help to explain why a firm that has already decided to reshore may still struggle to do so. The decision concerns the location, but carrying it out involves dismantling the transaction-specific governance arrangements on the host side and building up the scarce, slow-to-acquire resources on the home side, and neither of these is reflected in the location comparison. The thesis addresses the research gap identified in the introduction by shifting attention from the reasons behind reshoring decisions to the barriers that arise during their implementation, and by structuring the analysis around a firm-level framework instead of a list of disconnected findings.</w:t>
      </w:r>
    </w:p>
    <w:p>
      <w:r>
        <w:t>This contribution should be read within the bounds that the thesis has set out throughout. The formal analytical sample consists of twenty-one studies, and the direct implementation evidence that is genuinely Asia-specific comes from two single case studies, both reporting returns from China to Western Europe (Pegoraro et al., 2022; Pedroletti, 2025). The framework should therefore be viewed as a map of what the current literature reveals rather than a ranking of universal barriers, and it cannot be generalised to Asian markets as a whole. Within these limits, the results show that the difficulty of reshoring lies less in the decision itself than in the reconstruction of the productive capability that offshoring eroded over the years. Reshoring emerges as a project of its own,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