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and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and firms are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while switching and reconfiguration costs, including duplicate operations during the transition, are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and a domestic skilled-labour shortage — loss of tacit knowledge, lack of core manufacturing competencies, and high training time and cost — was found among Swedish firms in a related study (Mirzaei et al., 2021). A lack of specialised manpower and loss of domestic competences are also identified as constraints in implementing the return (Di Mauro et al., 2018).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a domestic production-capacity gap — insufficient facilities, equipment limits, and investment resources — was reported in a related study of Swedish firms (Mirzaei et al., 2021).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value chains are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and the education-system mismatch is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