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and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and firms are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using an adapted three-stage process for synthesising findings across studies (Thomas &amp;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(Mayring, 2014). Qualitative content analysis is considered a systematic, rule-governed method in which the application of deductive categories and the development of inductive categories are not mutually exclusive (Mayring, 2014).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while switching and reconfiguration costs, including duplicate operations during the transition, are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and a domestic skilled-labour shortage — loss of tacit knowledge, lack of core manufacturing competencies, and high training time and cost — was found among Swedish firms in a related study (Mirzaei et al., 2021). A lack of specialised manpower and loss of domestic competences are also identified as constraints in implementing the return (Di Mauro et al., 2018).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a domestic production-capacity gap — insufficient facilities, equipment limits, and investment resources — was reported in a related study of Swedish firms (Mirzaei et al., 2021).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value chains are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and the education-system mismatch is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