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Barriers to Reshoring from Asian Markets: A Systematic Literature Review</w:t>
      </w:r>
    </w:p>
    <w:p>
      <w:pPr>
        <w:pStyle w:val="Heading2"/>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pPr>
        <w:pStyle w:val="Heading2"/>
      </w:pPr>
      <w:r>
        <w:t>Acknowledgements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and firm-level research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pPr>
        <w:pStyle w:val="Heading1"/>
      </w:pPr>
      <w:r>
        <w:t>2 Literature Review</w:t>
      </w:r>
    </w:p>
    <w:p>
      <w:r>
        <w:t>This chapter lays the conceptual and theoretical groundwork for the study. It clarifies the concept of reshoring and differentiates it from other types of manufacturing relocation, presents the two theoretical lenses through which the results are interpreted, distinguishes between the drivers of reshoring and the barriers to reshoring, and outlines the research gap that the thesis addresses.</w:t>
      </w:r>
    </w:p>
    <w:p>
      <w:pPr>
        <w:pStyle w:val="Heading2"/>
      </w:pPr>
      <w:r>
        <w:t>2.1 Conceptual Definitions and Key Terms</w:t>
      </w:r>
    </w:p>
    <w:p>
      <w:r>
        <w:t>The study of manufacturing relocation has always been plagued by a lack of uniformity in terminology. Tsai and Urmetzer (2024) review 158 studies on manufacturing relocation and conclude that the concepts of offshoring, reshoring, backshoring, and nearshoring have been used inconsistently in both industrial and regional contexts, and that reshoring can be viewed as an umbrella term for relocation to the home country and relocation to a proximate country. This thesis uses a more narrow definition: Reshoring is defined as the relocation of previously offshored manufacturing activities from an Asian host country to the firm's home country.</w:t>
      </w:r>
    </w:p>
    <w:p>
      <w:r>
        <w:t>Ocicka (2016) also defines reshoring as the reversal of a previous offshoring decision, which is useful in highlighting two key elements: first, there must have been an offshoring decision in the past, and second, the activity must be brought back home and not simply moved elsewhere.</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by Tsai and Urmetzer (2024) in their review of the relocation literature.</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Pedroletti and Ciabuschi (2023) categorise the literature into five sequential themes: antecedents, contingencies, decision, implementation, and outcome, and suggest a research agenda for each.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Wiesmann et al. (2017) note that there is currently no consensus on a "theory of reshoring" and review the theories employed in previous studies. The lenses of individual studies vary: Li et al. (2025) draw on Dunning's eclectic paradigm for their empirical analysis, Pedroletti (2025) uses a business-network perspective from internationalisation-process theory, and D'Ambrosio and Lavoratori (2025) build on trade-theoretic work on de-globalisation and global value chains.</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as developed by Williamson (1985), directs attention to the costs of organising economic activity across firm and country boundaries, emphasising asset specificity, contractual safeguards, and the governance of exchange relationships. Williamson did not study reshoring; applying these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that is consistent with this logic includes the existence of strict layoff regulations in the host country, and locked investments that make it difficult to exit the host country quickly (Li et al., 2025), plant-closure fees and fiscal obligations reported in the review literature (Di Stefano &amp; Fratocchi, 2019), and the coordination burden that arises when production is split between home and host locations during a partial return (Pedroletti, 2025). Transaction-cost reasoning also suggests that there are hidden costs: Ocicka (2016) argues that unit price-based sourcing decisions systematically underestimate the total cost of offshore acquisition, and Boffelli et al. (2021) report on the operational adjustments that relocation requires, which firms underestimate.</w:t>
      </w:r>
    </w:p>
    <w:p>
      <w:r>
        <w:t>The Resource-Based View, which is based on Barney's (1991) theory that competitive advantage is based on resources that are valuable, rare, imperfectly imitable and non-substitutable, provides insights on the arrival side of implementation; this is the author's interpretation of how the RBV applies to reshoring, as with TCE.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(Wiesmann et al., 2017), the lack of specialized manpower faced by reshoring firms (Di Mauro et al., 2018), and the need to rebuild machinery, tooling, and workforce skills documented in case evidence (Pegoraro et al., 2022). Conceptual work complements this reading: D'Ambrosio and Lavoratori (2025) argue that reshoring presents new fixed costs and capability requirements for firms, and existing value chains are "sticky" due to investments in them.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Di Mauro et al. (2018) conclude that offshoring is primarily motivated by cost reduction, while backshoring typically occurs as a result of a strategic reorientation towards customer perceived value and that the return is not necessarily a managerial error, but rather a strategic evolution. Quantitative firm-level evidence links reshoring decisions to home-country conditions (Wan et al., 2019) and to Industry 4.0 adoption, pandemic experience, and made-in effects (Stentoft et al., 2025), while survey and case research has explored the link between digital-technology adoption and backshoring decisions (Kamp &amp; Gibaja, 2021).</w:t>
      </w:r>
    </w:p>
    <w:p>
      <w:r>
        <w:t>Case studies introduce brand-related motives: Robinson and Hsieh (2016) show how a luxury clothing firm's re-positioning on provenance and quality resulted in the concentration of production in the home country.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is given by Boffelli et al. (2021) who analyze four relocation cases in the fashion sector and differentiate between decision-making mistakes and implementation mistakes.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the process framework of Pedroletti and Ciabuschi (2023), which considers implementation as a stage with its own contingencies and outcomes.</w:t>
      </w:r>
    </w:p>
    <w:p>
      <w:pPr>
        <w:pStyle w:val="Heading2"/>
      </w:pPr>
      <w:r>
        <w:t>2.4 Existing Knowledge on Reshoring Barriers and the Research Gap</w:t>
      </w:r>
    </w:p>
    <w:p>
      <w:r>
        <w:t>The most systematic early treatment of reshoring barriers is the literature review by Wiesmann et al. (2017), who classify both drivers and barriers into five sets of dynamics: global competitive dynamics, home-country, host-country, supply-chain and firm-specific factors.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Di Stefano and Fratocchi (2019) discuss the link between backshoring and sustainability and demonstrate that environmental and social considerations can be drivers, outcomes, or barriers, such as regulatory and social barriers to exit the host country.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Gupta et al. (2023) state that Industry 4.0 has a dual effect, enabling reshoring and creating new capability requirements. Conceptually, D'Ambrosio and Lavoratori (2025) combine some of these strands, arguing that the stickiness of existing value chains, the new fixed costs of domestic production, and firm-size differences (larger firms may prefer nearshoring or friendshoring, smaller, constrained firms may reshore defensively "to survive") explain the rarity of reshoring.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such as a China-to-UK case that documents skills, machinery and ramp-up difficulties (Pegoraro et al., 2022) and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pPr>
        <w:pStyle w:val="Heading1"/>
      </w:pPr>
      <w:r>
        <w:t>3 Research Methodology</w:t>
      </w:r>
    </w:p>
    <w:p>
      <w:r>
        <w:t>This chapter outlines the design and implementation of the thesis and discusses the rationale for conducting a systematic literature review for the thesis' research questions, the process of collecting and screening the source material, quality assessment of the included evidence, and the analysis of the collected evidence in order to create the framework of barriers at the firm-level. The chapter ends with methodological weaknesses of the method.</w:t>
      </w:r>
    </w:p>
    <w:p>
      <w:pPr>
        <w:pStyle w:val="Heading2"/>
      </w:pPr>
      <w:r>
        <w:t>3.1 Research Design</w:t>
      </w:r>
    </w:p>
    <w:p>
      <w:r>
        <w:t>This thesis uses a research method called systematic literature review (SLR). The choice is natural as the nature of the research question is to diagnose the barriers that manufacturing companies encounter when implementing reshoring strategies from Asian markets and its subsequent implications for the manager. These questions can be answered without making new primary observations, but rather a structured analysis and synthesis of evidence that is already available in a dispersed form. A systematic review is the right review to conduct as it synthesises the results of literature about a bounded question by using explicit, documented and reproducible methods of literature search, selection and analysis (Snyder, 2019).</w:t>
      </w:r>
    </w:p>
    <w:p>
      <w:r>
        <w:t>Snyder (2019) indicates that a literature review itself can be used as a research method and there are three types of literature review: systematic, semi-systematic, and integrative, which can be used for a variety of purposes. If a question is specific enough to be answered by locating and assessing a set of relevant studies using a set of criteria, then a systematic review is appropriate. The research question in the present research is specific and set at the firm level, which makes a systematic design the most suitable of the three, despite the methodological diversity of the evidence. The rest of the chapter is organized in four phases of the review process outlined by Snyder (2019): designing the review, conducting the review, analyzing the review and writing the review. The framework is used here in its general form as a methodological reason, and reporting and synthesis guidance is provided in the following sections.</w:t>
      </w:r>
    </w:p>
    <w:p>
      <w:r>
        <w:t>For this design, the thesis does not compile primary interview, survey or company evidence, but only uses evidence that has already been published by others and subjected to peer-review. This contribution is integrative as the review combines the results of the individual studies in a single framework of reshoring implementation barriers that is consistent with literature review-based work in the reshoring field (Tsai &amp; Urmetzer, 2024). This design will allow the research questions to be addressed directly and will make the source and weight of each piece of evidence clear.</w:t>
      </w:r>
    </w:p>
    <w:p>
      <w:pPr>
        <w:pStyle w:val="Heading2"/>
      </w:pPr>
      <w:r>
        <w:t>3.2 Data Collection Methods</w:t>
      </w:r>
    </w:p>
    <w:p>
      <w:r>
        <w:t>The literature search and selection was documented using the PRISMA 2020 reporting guidelines (Page, McKenzie, et al., 2021; Page, Moher, et al., 2021), which were not used as a tool of evidence synthesis, but rather as a tool to report on identification, screening, and inclusion. There was only a single literature-discovery tool: Google Scholar. The literature search started in late June 2026 and concluded in the following few weeks, and included a combination of topic-related terms, backward and forward citation searches, and the "related articles" features in Google Scholar: reshoring, backshoring, manufacturing reshoring, reshoring barriers, reshoring implementation, and terms related to supplier dependence, capabilities, and transfer of production. This process was exploratory, not based on a pre-defined list of search strings, and was not prospectively documented, so there are no definitive strings or number of results reported. This process, by the beginning of July, had resulted in the bulk of the literature utilized for this thesis.</w:t>
      </w:r>
    </w:p>
    <w:p>
      <w:r>
        <w:t>A final documented update search was conducted on 15 July 2026 in Google Scholar, to increase the transparency of the search process. The three predefined strings were run with the results recorded as they occurred: search date, exact string, results shown, records screened and exclusions noted with reasons. This was merely a review of the current stock but not the beginning of literature search. 102 records were screened across the three strings, of which 11 records matched with sources already in the corpus. Most others were not included, primarily because they were either macro- or policy-level oriented, focused on nearshoring as opposed to genuine reshoring, or were not easily accessible or not peer-reviewed. There was no new source added due to this. Together with the full-text stage of the earlier search process, this update search provides the documented record of the study-selection process, which is summarised in the PRISMA 2020 flow diagram in Figure 1.</w:t>
      </w:r>
    </w:p>
    <w:p>
      <w:pPr>
        <w:spacing w:line="240" w:lineRule="auto"/>
        <w:jc w:val="center"/>
      </w:pPr>
      <w:r>
        <w:drawing>
          <wp:inline xmlns:a="http://schemas.openxmlformats.org/drawingml/2006/main" xmlns:pic="http://schemas.openxmlformats.org/drawingml/2006/picture">
            <wp:extent cx="5669280" cy="6402885"/>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402885"/>
                    </a:xfrm>
                    <a:prstGeom prst="rect"/>
                  </pic:spPr>
                </pic:pic>
              </a:graphicData>
            </a:graphic>
          </wp:inline>
        </w:drawing>
      </w:r>
    </w:p>
    <w:p>
      <w:r>
        <w:rPr>
          <w:b/>
        </w:rPr>
        <w:t>Figure 1.</w:t>
      </w:r>
      <w:r>
        <w:t xml:space="preserve"> </w:t>
      </w:r>
      <w:r>
        <w:rPr>
          <w:i/>
        </w:rPr>
        <w:t>PRISMA 2020 flow diagram of the study-selection process. The left arm reports the documented update search; the right arm reports the reconstructable full-text stage of the original exploratory search process.</w:t>
      </w:r>
    </w:p>
    <w:p>
      <w:r>
        <w:t>Duplicate entries were handled, and titles, abstracts, and available full text were then screened for eligibility based on the eligibility criteria. Google Scholar does not filter automatically by peer-review status, publication type or language, thus these were manually checked for all the candidate sources. Only sources in English language, and with full texts available online, were included and a source had to be relevant to manufacturing reshoring, and meet the thesis definition of reshoring to be included in the formal analytical sample.</w:t>
      </w:r>
    </w:p>
    <w:p>
      <w:r>
        <w:t>Studies were required to address the actual reshoring process, the return of manufacturing to the company's home country. Barrier coding was not included for studies on China+1, China-to-Southeast-Asia relocation, re-offshoring, nearshoring without a return home, or foreign-to-foreign relocation because these are not considered to be a true reshoring; a few of these were included with contextual notes in the Introduction and Discussion. Asia specificity was not always reported in the literature as a specific host location, so was recorded as a rating for all sources used and only results relating to an explicit Asian host location with a return home are reported as Asia-specific in the Results.</w:t>
      </w:r>
    </w:p>
    <w:p>
      <w:r>
        <w:t>A total of 34 sources are used for the corpus. The barrier framework is based on 21 peer-reviewed studies on reshoring. Further contextual and policy sources, such as macro level relocation patterns and the China+1 dynamics, are described in the Introduction and Discussion but were not coded at the barrier level as they reflect the broader environment but not the level of implementation of the barriers. The research design and coding and synthesis procedures have been justified by five methodology sources, and do not present any barrier evidence. The documented selection record thus only encompasses the 21 studies that form the formal analytical sample; the methodology sources are not counted and the contextual sources are reported separately. The 21 studies included in the formal analytical sample are: Bilbao-Ubillos et al. (2024); Boffelli et al. (2021); D'Ambrosio and Lavoratori (2025); Di Mauro et al. (2018); Di Stefano and Fratocchi (2019); Espíndola et al. (2023); Gupta et al. (2023); Heikkilä et al. (2018); Kamp and Gibaja (2021); Li et al. (2025); Mirzaei et al. (2021); Ocicka (2016); Pedroletti (2025); Pedroletti and Ciabuschi (2023); Pegoraro et al. (2022); Pourhejazy and Ashby (2021); Robinson and Hsieh (2016); Stentoft et al. (2025); Tsai and Urmetzer (2024); Wan et al. (2019); Wiesmann et al. (2017).</w:t>
      </w:r>
    </w:p>
    <w:p>
      <w:r>
        <w:t>All the sources in the formal sample were also described in terms of two dimensions. The first specifies the kind of evidence that it gives, because it can be of different quality and has a different evidential status, and because it cannot be equated. The second is an Asia-specificity rating (high, medium, or low), assigned as high if the data or case in a source explicitly references an Asian host location and a return home. The two dimensions influenced the interpretation and reporting of the evidence throughout the thesis and referred to the extent to which the evidence was relevant and the nature of the evidence without addressing the methodological quality of each source. A single researcher conducted screening and selection; this is a limitation noted.</w:t>
      </w:r>
    </w:p>
    <w:p>
      <w:pPr>
        <w:pStyle w:val="Heading2"/>
      </w:pPr>
      <w:r>
        <w:t>3.3 Data Analysis Techniques</w:t>
      </w:r>
    </w:p>
    <w:p>
      <w:r>
        <w:t>The evidence that was included was analysed in an adapted way using a three-stage process of synthesising findings across studies developed by Thomas and Harden (2008). In the first phase, the findings of relevant studies in the included studies were coded on the level of meaningful evidence segments. The second stage involved grouping codes into descriptive categories, which remained close to the content of the main studies, when they were conceptually similar. In the third stage, descriptive themes were interpreted to generate higher-order analytical themes to answer the research questions and exceed those identified by any single study individually. One of the strengths of this procedure is that it allows for an audit trail to be kept from the conclusions made in the review to the original text of the primary studies, enabling each analytical theme to be followed through the descriptive themes to the coded evidence.</w:t>
      </w:r>
    </w:p>
    <w:p>
      <w:r>
        <w:t>The coding itself was based on a deductive-inductive logic for which Mayring (2014) provides the methodological basis. Mayring (2014) considers qualitative content analysis as a systematic, rule-governed method in which the application of deductive categories and the development of inductive categories are not mutually exclusive. Based on this, the four categories of the thesis framework — regulatory/institutional, cultural/organisational, cost/operational and asset/capability — were deductively derived from the theoretical framework and the research questions and were used as an a priori coding frame. The included studies were then inductively clustered into more specific category themes within each of these general categories, and the boundaries of the categories were refined when the a priori frame did not adequately cover the coded material. The outcome was a set of barrier themes that were embedded in the four deductive categories. Table 1 documents this coding: each barrier theme, the category it belongs to, and the studies whose evidence was coded to it, separated by evidence type.</w:t>
      </w:r>
    </w:p>
    <w:p>
      <w:r>
        <w:rPr>
          <w:b/>
        </w:rPr>
        <w:t>Table 1.</w:t>
      </w:r>
      <w:r>
        <w:t xml:space="preserve"> </w:t>
      </w:r>
      <w:r>
        <w:rPr>
          <w:i/>
        </w:rPr>
        <w:t>Coding of the barrier themes: each theme, its framework category, and the contributing studies by evidence type.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b/>
                <w:sz w:val="20"/>
              </w:rPr>
              <w:t>Barrier theme</w:t>
            </w:r>
          </w:p>
        </w:tc>
        <w:tc>
          <w:tcPr>
            <w:tcW w:type="dxa" w:w="1872"/>
          </w:tcPr>
          <w:p>
            <w:pPr>
              <w:spacing w:line="240" w:lineRule="auto"/>
            </w:pPr>
            <w:r>
              <w:rPr>
                <w:b/>
                <w:sz w:val="20"/>
              </w:rPr>
              <w:t>Category</w:t>
            </w:r>
          </w:p>
        </w:tc>
        <w:tc>
          <w:tcPr>
            <w:tcW w:type="dxa" w:w="1872"/>
          </w:tcPr>
          <w:p>
            <w:pPr>
              <w:spacing w:line="240" w:lineRule="auto"/>
            </w:pPr>
            <w:r>
              <w:rPr>
                <w:b/>
                <w:sz w:val="20"/>
              </w:rPr>
              <w:t>Direct empirical</w:t>
            </w:r>
          </w:p>
        </w:tc>
        <w:tc>
          <w:tcPr>
            <w:tcW w:type="dxa" w:w="1872"/>
          </w:tcPr>
          <w:p>
            <w:pPr>
              <w:spacing w:line="240" w:lineRule="auto"/>
            </w:pPr>
            <w:r>
              <w:rPr>
                <w:b/>
                <w:sz w:val="20"/>
              </w:rPr>
              <w:t>Review</w:t>
            </w:r>
          </w:p>
        </w:tc>
        <w:tc>
          <w:tcPr>
            <w:tcW w:type="dxa" w:w="1872"/>
          </w:tcPr>
          <w:p>
            <w:pPr>
              <w:spacing w:line="240" w:lineRule="auto"/>
            </w:pPr>
            <w:r>
              <w:rPr>
                <w:b/>
                <w:sz w:val="20"/>
              </w:rPr>
              <w:t>Conceptual</w:t>
            </w:r>
          </w:p>
        </w:tc>
      </w:tr>
      <w:tr>
        <w:tc>
          <w:tcPr>
            <w:tcW w:type="dxa" w:w="1872"/>
          </w:tcPr>
          <w:p>
            <w:pPr>
              <w:spacing w:line="240" w:lineRule="auto"/>
            </w:pPr>
            <w:r>
              <w:rPr>
                <w:sz w:val="20"/>
              </w:rPr>
              <w:t>Host-country exit regulation</w:t>
            </w:r>
          </w:p>
        </w:tc>
        <w:tc>
          <w:tcPr>
            <w:tcW w:type="dxa" w:w="1872"/>
          </w:tcPr>
          <w:p>
            <w:pPr>
              <w:spacing w:line="240" w:lineRule="auto"/>
            </w:pPr>
            <w:r>
              <w:rPr>
                <w:sz w:val="20"/>
              </w:rPr>
              <w:t>Regulatory/Institutional</w:t>
            </w:r>
          </w:p>
        </w:tc>
        <w:tc>
          <w:tcPr>
            <w:tcW w:type="dxa" w:w="1872"/>
          </w:tcPr>
          <w:p>
            <w:pPr>
              <w:spacing w:line="240" w:lineRule="auto"/>
            </w:pPr>
            <w:r>
              <w:rPr>
                <w:sz w:val="20"/>
              </w:rPr>
              <w:t>Li et al. (2025)</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Social-responsibility &amp; workforce-resistance exit constraints</w:t>
            </w:r>
          </w:p>
        </w:tc>
        <w:tc>
          <w:tcPr>
            <w:tcW w:type="dxa" w:w="1872"/>
          </w:tcPr>
          <w:p>
            <w:pPr>
              <w:spacing w:line="240" w:lineRule="auto"/>
            </w:pPr>
            <w:r>
              <w:rPr>
                <w:sz w:val="20"/>
              </w:rPr>
              <w:t>Regulatory/Institutional</w:t>
            </w:r>
          </w:p>
        </w:tc>
        <w:tc>
          <w:tcPr>
            <w:tcW w:type="dxa" w:w="1872"/>
          </w:tcPr>
          <w:p>
            <w:pPr>
              <w:spacing w:line="240" w:lineRule="auto"/>
            </w:pPr>
            <w:r>
              <w:rPr>
                <w:sz w:val="20"/>
              </w:rPr>
              <w:t>—</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Home-country compliance burden &amp; institutional frictions</w:t>
            </w:r>
          </w:p>
        </w:tc>
        <w:tc>
          <w:tcPr>
            <w:tcW w:type="dxa" w:w="1872"/>
          </w:tcPr>
          <w:p>
            <w:pPr>
              <w:spacing w:line="240" w:lineRule="auto"/>
            </w:pPr>
            <w:r>
              <w:rPr>
                <w:sz w:val="20"/>
              </w:rPr>
              <w:t>Regulatory/Institutional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Gupta et al. (2023)</w:t>
            </w:r>
          </w:p>
        </w:tc>
      </w:tr>
      <w:tr>
        <w:tc>
          <w:tcPr>
            <w:tcW w:type="dxa" w:w="1872"/>
          </w:tcPr>
          <w:p>
            <w:pPr>
              <w:spacing w:line="240" w:lineRule="auto"/>
            </w:pPr>
            <w:r>
              <w:rPr>
                <w:sz w:val="20"/>
              </w:rPr>
              <w:t>Organisational readiness, behavioural biases, learning-by-trial</w:t>
            </w:r>
          </w:p>
        </w:tc>
        <w:tc>
          <w:tcPr>
            <w:tcW w:type="dxa" w:w="1872"/>
          </w:tcPr>
          <w:p>
            <w:pPr>
              <w:spacing w:line="240" w:lineRule="auto"/>
            </w:pPr>
            <w:r>
              <w:rPr>
                <w:sz w:val="20"/>
              </w:rPr>
              <w:t>Cultural/Organisational</w:t>
            </w:r>
          </w:p>
        </w:tc>
        <w:tc>
          <w:tcPr>
            <w:tcW w:type="dxa" w:w="1872"/>
          </w:tcPr>
          <w:p>
            <w:pPr>
              <w:spacing w:line="240" w:lineRule="auto"/>
            </w:pPr>
            <w:r>
              <w:rPr>
                <w:sz w:val="20"/>
              </w:rPr>
              <w:t>Boffelli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w:t>
            </w:r>
          </w:p>
        </w:tc>
      </w:tr>
      <w:tr>
        <w:tc>
          <w:tcPr>
            <w:tcW w:type="dxa" w:w="1872"/>
          </w:tcPr>
          <w:p>
            <w:pPr>
              <w:spacing w:line="240" w:lineRule="auto"/>
            </w:pPr>
            <w:r>
              <w:rPr>
                <w:sz w:val="20"/>
              </w:rPr>
              <w:t>Intra-organisational silos &amp; weak employee involvement</w:t>
            </w:r>
          </w:p>
        </w:tc>
        <w:tc>
          <w:tcPr>
            <w:tcW w:type="dxa" w:w="1872"/>
          </w:tcPr>
          <w:p>
            <w:pPr>
              <w:spacing w:line="240" w:lineRule="auto"/>
            </w:pPr>
            <w:r>
              <w:rPr>
                <w:sz w:val="20"/>
              </w:rPr>
              <w:t>Cultural/Organisational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Adverse host-supplier relational response</w:t>
            </w:r>
          </w:p>
        </w:tc>
        <w:tc>
          <w:tcPr>
            <w:tcW w:type="dxa" w:w="1872"/>
          </w:tcPr>
          <w:p>
            <w:pPr>
              <w:spacing w:line="240" w:lineRule="auto"/>
            </w:pPr>
            <w:r>
              <w:rPr>
                <w:sz w:val="20"/>
              </w:rPr>
              <w:t>Cultural/Organisational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Governance mode of the return (gap)</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Pedroletti &amp; Ciabuschi (2023)</w:t>
            </w:r>
          </w:p>
        </w:tc>
        <w:tc>
          <w:tcPr>
            <w:tcW w:type="dxa" w:w="1872"/>
          </w:tcPr>
          <w:p>
            <w:pPr>
              <w:spacing w:line="240" w:lineRule="auto"/>
            </w:pPr>
            <w:r>
              <w:rPr>
                <w:sz w:val="20"/>
              </w:rPr>
              <w:t>—</w:t>
            </w:r>
          </w:p>
        </w:tc>
      </w:tr>
      <w:tr>
        <w:tc>
          <w:tcPr>
            <w:tcW w:type="dxa" w:w="1872"/>
          </w:tcPr>
          <w:p>
            <w:pPr>
              <w:spacing w:line="240" w:lineRule="auto"/>
            </w:pPr>
            <w:r>
              <w:rPr>
                <w:sz w:val="20"/>
              </w:rPr>
              <w:t>Digital/organisational adaptation burden</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Bilbao-Ubillos et al. (2024); Espíndola et al. (2023)</w:t>
            </w:r>
          </w:p>
        </w:tc>
        <w:tc>
          <w:tcPr>
            <w:tcW w:type="dxa" w:w="1872"/>
          </w:tcPr>
          <w:p>
            <w:pPr>
              <w:spacing w:line="240" w:lineRule="auto"/>
            </w:pPr>
            <w:r>
              <w:rPr>
                <w:sz w:val="20"/>
              </w:rPr>
              <w:t>Gupta et al. (2023); D'Ambrosio &amp; Lavoratori (2025)</w:t>
            </w:r>
          </w:p>
        </w:tc>
      </w:tr>
      <w:tr>
        <w:tc>
          <w:tcPr>
            <w:tcW w:type="dxa" w:w="1872"/>
          </w:tcPr>
          <w:p>
            <w:pPr>
              <w:spacing w:line="240" w:lineRule="auto"/>
            </w:pPr>
            <w:r>
              <w:rPr>
                <w:sz w:val="20"/>
              </w:rPr>
              <w:t>Hollowed-out supply base / supplier-network rebuilding</w:t>
            </w:r>
          </w:p>
        </w:tc>
        <w:tc>
          <w:tcPr>
            <w:tcW w:type="dxa" w:w="1872"/>
          </w:tcPr>
          <w:p>
            <w:pPr>
              <w:spacing w:line="240" w:lineRule="auto"/>
            </w:pPr>
            <w:r>
              <w:rPr>
                <w:sz w:val="20"/>
              </w:rPr>
              <w:t>Cost/Operational</w:t>
            </w:r>
          </w:p>
        </w:tc>
        <w:tc>
          <w:tcPr>
            <w:tcW w:type="dxa" w:w="1872"/>
          </w:tcPr>
          <w:p>
            <w:pPr>
              <w:spacing w:line="240" w:lineRule="auto"/>
            </w:pPr>
            <w:r>
              <w:rPr>
                <w:sz w:val="20"/>
              </w:rPr>
              <w:t>Mirzaei et al. (2021); Di Mauro et al. (2018)</w:t>
            </w:r>
          </w:p>
        </w:tc>
        <w:tc>
          <w:tcPr>
            <w:tcW w:type="dxa" w:w="1872"/>
          </w:tcPr>
          <w:p>
            <w:pPr>
              <w:spacing w:line="240" w:lineRule="auto"/>
            </w:pPr>
            <w:r>
              <w:rPr>
                <w:sz w:val="20"/>
              </w:rPr>
              <w:t>Wiesmann et al. (2017); Ocicka (2016)</w:t>
            </w:r>
          </w:p>
        </w:tc>
        <w:tc>
          <w:tcPr>
            <w:tcW w:type="dxa" w:w="1872"/>
          </w:tcPr>
          <w:p>
            <w:pPr>
              <w:spacing w:line="240" w:lineRule="auto"/>
            </w:pPr>
            <w:r>
              <w:rPr>
                <w:sz w:val="20"/>
              </w:rPr>
              <w:t>Gupta et al. (2023)</w:t>
            </w:r>
          </w:p>
        </w:tc>
      </w:tr>
      <w:tr>
        <w:tc>
          <w:tcPr>
            <w:tcW w:type="dxa" w:w="1872"/>
          </w:tcPr>
          <w:p>
            <w:pPr>
              <w:spacing w:line="240" w:lineRule="auto"/>
            </w:pPr>
            <w:r>
              <w:rPr>
                <w:sz w:val="20"/>
              </w:rPr>
              <w:t>New fixed costs &amp; switching/reconfiguration costs</w:t>
            </w:r>
          </w:p>
        </w:tc>
        <w:tc>
          <w:tcPr>
            <w:tcW w:type="dxa" w:w="1872"/>
          </w:tcPr>
          <w:p>
            <w:pPr>
              <w:spacing w:line="240" w:lineRule="auto"/>
            </w:pPr>
            <w:r>
              <w:rPr>
                <w:sz w:val="20"/>
              </w:rPr>
              <w:t>Cost/Operational</w:t>
            </w:r>
          </w:p>
        </w:tc>
        <w:tc>
          <w:tcPr>
            <w:tcW w:type="dxa" w:w="1872"/>
          </w:tcPr>
          <w:p>
            <w:pPr>
              <w:spacing w:line="240" w:lineRule="auto"/>
            </w:pPr>
            <w:r>
              <w:rPr>
                <w:sz w:val="20"/>
              </w:rPr>
              <w:t>Li et al. (2025)</w:t>
            </w:r>
          </w:p>
        </w:tc>
        <w:tc>
          <w:tcPr>
            <w:tcW w:type="dxa" w:w="1872"/>
          </w:tcPr>
          <w:p>
            <w:pPr>
              <w:spacing w:line="240" w:lineRule="auto"/>
            </w:pPr>
            <w:r>
              <w:rPr>
                <w:sz w:val="20"/>
              </w:rPr>
              <w:t>Espíndola et al. (2023)</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High-cost home environment</w:t>
            </w:r>
          </w:p>
        </w:tc>
        <w:tc>
          <w:tcPr>
            <w:tcW w:type="dxa" w:w="1872"/>
          </w:tcPr>
          <w:p>
            <w:pPr>
              <w:spacing w:line="240" w:lineRule="auto"/>
            </w:pPr>
            <w:r>
              <w:rPr>
                <w:sz w:val="20"/>
              </w:rPr>
              <w:t>Cost/Operational</w:t>
            </w:r>
          </w:p>
        </w:tc>
        <w:tc>
          <w:tcPr>
            <w:tcW w:type="dxa" w:w="1872"/>
          </w:tcPr>
          <w:p>
            <w:pPr>
              <w:spacing w:line="240" w:lineRule="auto"/>
            </w:pPr>
            <w:r>
              <w:rPr>
                <w:sz w:val="20"/>
              </w:rPr>
              <w:t>Mirzaei et al. (2021); Li et al. (2025)</w:t>
            </w:r>
          </w:p>
        </w:tc>
        <w:tc>
          <w:tcPr>
            <w:tcW w:type="dxa" w:w="1872"/>
          </w:tcPr>
          <w:p>
            <w:pPr>
              <w:spacing w:line="240" w:lineRule="auto"/>
            </w:pPr>
            <w:r>
              <w:rPr>
                <w:sz w:val="20"/>
              </w:rPr>
              <w:t>—</w:t>
            </w:r>
          </w:p>
        </w:tc>
        <w:tc>
          <w:tcPr>
            <w:tcW w:type="dxa" w:w="1872"/>
          </w:tcPr>
          <w:p>
            <w:pPr>
              <w:spacing w:line="240" w:lineRule="auto"/>
            </w:pPr>
            <w:r>
              <w:rPr>
                <w:sz w:val="20"/>
              </w:rPr>
              <w:t>D'Ambrosio &amp; Lavoratori (2025)</w:t>
            </w:r>
          </w:p>
        </w:tc>
      </w:tr>
      <w:tr>
        <w:tc>
          <w:tcPr>
            <w:tcW w:type="dxa" w:w="1872"/>
          </w:tcPr>
          <w:p>
            <w:pPr>
              <w:spacing w:line="240" w:lineRule="auto"/>
            </w:pPr>
            <w:r>
              <w:rPr>
                <w:sz w:val="20"/>
              </w:rPr>
              <w:t>Hybrid-operation coordination complexity (partial reshoring)</w:t>
            </w:r>
          </w:p>
        </w:tc>
        <w:tc>
          <w:tcPr>
            <w:tcW w:type="dxa" w:w="1872"/>
          </w:tcPr>
          <w:p>
            <w:pPr>
              <w:spacing w:line="240" w:lineRule="auto"/>
            </w:pPr>
            <w:r>
              <w:rPr>
                <w:sz w:val="20"/>
              </w:rPr>
              <w:t>Cost/Operational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Underestimated operational adjustments</w:t>
            </w:r>
          </w:p>
        </w:tc>
        <w:tc>
          <w:tcPr>
            <w:tcW w:type="dxa" w:w="1872"/>
          </w:tcPr>
          <w:p>
            <w:pPr>
              <w:spacing w:line="240" w:lineRule="auto"/>
            </w:pPr>
            <w:r>
              <w:rPr>
                <w:sz w:val="20"/>
              </w:rPr>
              <w:t>Cost/Operational</w:t>
            </w:r>
          </w:p>
        </w:tc>
        <w:tc>
          <w:tcPr>
            <w:tcW w:type="dxa" w:w="1872"/>
          </w:tcPr>
          <w:p>
            <w:pPr>
              <w:spacing w:line="240" w:lineRule="auto"/>
            </w:pPr>
            <w:r>
              <w:rPr>
                <w:sz w:val="20"/>
              </w:rPr>
              <w:t>Boffelli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Domestic skilled-labour &amp; competence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Di Mauro et al. (2018); Mirzaei et al. (2021)</w:t>
            </w:r>
          </w:p>
        </w:tc>
        <w:tc>
          <w:tcPr>
            <w:tcW w:type="dxa" w:w="1872"/>
          </w:tcPr>
          <w:p>
            <w:pPr>
              <w:spacing w:line="240" w:lineRule="auto"/>
            </w:pPr>
            <w:r>
              <w:rPr>
                <w:sz w:val="20"/>
              </w:rPr>
              <w:t>Wiesmann et al. (2017); Ocicka (2016); Bilbao-Ubillos et al. (2024)</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Domestic capacity, facilities &amp; machinery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Mirzaei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Host-supplier dependence &amp; knowledge lock-in</w:t>
            </w:r>
          </w:p>
        </w:tc>
        <w:tc>
          <w:tcPr>
            <w:tcW w:type="dxa" w:w="1872"/>
          </w:tcPr>
          <w:p>
            <w:pPr>
              <w:spacing w:line="240" w:lineRule="auto"/>
            </w:pPr>
            <w:r>
              <w:rPr>
                <w:sz w:val="20"/>
              </w:rPr>
              <w:t>Asset/Capability</w:t>
            </w:r>
          </w:p>
        </w:tc>
        <w:tc>
          <w:tcPr>
            <w:tcW w:type="dxa" w:w="1872"/>
          </w:tcPr>
          <w:p>
            <w:pPr>
              <w:spacing w:line="240" w:lineRule="auto"/>
            </w:pPr>
            <w:r>
              <w:rPr>
                <w:sz w:val="20"/>
              </w:rPr>
              <w:t>Pedroletti (2025); Li et al. (2025)</w:t>
            </w:r>
          </w:p>
        </w:tc>
        <w:tc>
          <w:tcPr>
            <w:tcW w:type="dxa" w:w="1872"/>
          </w:tcPr>
          <w:p>
            <w:pPr>
              <w:spacing w:line="240" w:lineRule="auto"/>
            </w:pPr>
            <w:r>
              <w:rPr>
                <w:sz w:val="20"/>
              </w:rPr>
              <w:t>Wiesmann et al. (2017); Bilbao-Ubillos et al. (2024)</w:t>
            </w:r>
          </w:p>
        </w:tc>
        <w:tc>
          <w:tcPr>
            <w:tcW w:type="dxa" w:w="1872"/>
          </w:tcPr>
          <w:p>
            <w:pPr>
              <w:spacing w:line="240" w:lineRule="auto"/>
            </w:pPr>
            <w:r>
              <w:rPr>
                <w:sz w:val="20"/>
              </w:rPr>
              <w:t>Gupta et al. (2023)</w:t>
            </w:r>
          </w:p>
        </w:tc>
      </w:tr>
      <w:tr>
        <w:tc>
          <w:tcPr>
            <w:tcW w:type="dxa" w:w="1872"/>
          </w:tcPr>
          <w:p>
            <w:pPr>
              <w:spacing w:line="240" w:lineRule="auto"/>
            </w:pPr>
            <w:r>
              <w:rPr>
                <w:sz w:val="20"/>
              </w:rPr>
              <w:t>GVC stickiness / offshore sunk-cost inertia</w:t>
            </w:r>
          </w:p>
        </w:tc>
        <w:tc>
          <w:tcPr>
            <w:tcW w:type="dxa" w:w="1872"/>
          </w:tcPr>
          <w:p>
            <w:pPr>
              <w:spacing w:line="240" w:lineRule="auto"/>
            </w:pPr>
            <w:r>
              <w:rPr>
                <w:sz w:val="20"/>
              </w:rPr>
              <w:t>Asset/Capability</w:t>
            </w:r>
          </w:p>
        </w:tc>
        <w:tc>
          <w:tcPr>
            <w:tcW w:type="dxa" w:w="1872"/>
          </w:tcPr>
          <w:p>
            <w:pPr>
              <w:spacing w:line="240" w:lineRule="auto"/>
            </w:pPr>
            <w:r>
              <w:rPr>
                <w:sz w:val="20"/>
              </w:rPr>
              <w:t>—</w:t>
            </w:r>
          </w:p>
        </w:tc>
        <w:tc>
          <w:tcPr>
            <w:tcW w:type="dxa" w:w="1872"/>
          </w:tcPr>
          <w:p>
            <w:pPr>
              <w:spacing w:line="240" w:lineRule="auto"/>
            </w:pPr>
            <w:r>
              <w:rPr>
                <w:sz w:val="20"/>
              </w:rPr>
              <w:t>Bilbao-Ubillos et al. (2024)</w:t>
            </w:r>
          </w:p>
        </w:tc>
        <w:tc>
          <w:tcPr>
            <w:tcW w:type="dxa" w:w="1872"/>
          </w:tcPr>
          <w:p>
            <w:pPr>
              <w:spacing w:line="240" w:lineRule="auto"/>
            </w:pPr>
            <w:r>
              <w:rPr>
                <w:sz w:val="20"/>
              </w:rPr>
              <w:t>D'Ambrosio &amp; Lavoratori (2025)</w:t>
            </w:r>
          </w:p>
        </w:tc>
      </w:tr>
      <w:tr>
        <w:tc>
          <w:tcPr>
            <w:tcW w:type="dxa" w:w="1872"/>
          </w:tcPr>
          <w:p>
            <w:pPr>
              <w:spacing w:line="240" w:lineRule="auto"/>
            </w:pPr>
            <w:r>
              <w:rPr>
                <w:sz w:val="20"/>
              </w:rPr>
              <w:t>Regional ecosystem readiness</w:t>
            </w:r>
          </w:p>
        </w:tc>
        <w:tc>
          <w:tcPr>
            <w:tcW w:type="dxa" w:w="1872"/>
          </w:tcPr>
          <w:p>
            <w:pPr>
              <w:spacing w:line="240" w:lineRule="auto"/>
            </w:pPr>
            <w:r>
              <w:rPr>
                <w:sz w:val="20"/>
              </w:rPr>
              <w:t>Asset/Capability</w:t>
            </w:r>
          </w:p>
        </w:tc>
        <w:tc>
          <w:tcPr>
            <w:tcW w:type="dxa" w:w="1872"/>
          </w:tcPr>
          <w:p>
            <w:pPr>
              <w:spacing w:line="240" w:lineRule="auto"/>
            </w:pPr>
            <w:r>
              <w:rPr>
                <w:sz w:val="20"/>
              </w:rPr>
              <w:t>Pegoraro et al. (2022)</w:t>
            </w:r>
          </w:p>
        </w:tc>
        <w:tc>
          <w:tcPr>
            <w:tcW w:type="dxa" w:w="1872"/>
          </w:tcPr>
          <w:p>
            <w:pPr>
              <w:spacing w:line="240" w:lineRule="auto"/>
            </w:pPr>
            <w:r>
              <w:rPr>
                <w:sz w:val="20"/>
              </w:rPr>
              <w:t>Bilbao-Ubillos et al. (2024)</w:t>
            </w:r>
          </w:p>
        </w:tc>
        <w:tc>
          <w:tcPr>
            <w:tcW w:type="dxa" w:w="1872"/>
          </w:tcPr>
          <w:p>
            <w:pPr>
              <w:spacing w:line="240" w:lineRule="auto"/>
            </w:pPr>
            <w:r>
              <w:rPr>
                <w:sz w:val="20"/>
              </w:rPr>
              <w:t>—</w:t>
            </w:r>
          </w:p>
        </w:tc>
      </w:tr>
    </w:tbl>
    <w:p>
      <w:r>
        <w:t>The full source-by-source coding records, including the per-source evidence-type notes, are provided in the Appendix.</w:t>
      </w:r>
    </w:p>
    <w:p>
      <w:r>
        <w:t>The integrity of the synthesis was safeguarded by two coding rules. First, and consistent with the decision rule of the corpus, the three types of evidence (direct findings from the study's data, findings reported by the literature survey, and barriers argued on conceptual grounds) were coded as separate evidence types and reported separately without being combined into a single frequency count, since a survey finding is not the same, nor is a review finding the same, nor is a conceptual argument the same. Second, a motive for considering reshoring (geopolitical unrest, rising Asian wages, disruption of supply chain etc.) was not coded as an implementation barrier unless a study made it clear that it interfered with the process of implementing the reshoring.</w:t>
      </w:r>
    </w:p>
    <w:p>
      <w:r>
        <w:t>This design has a number of methodological drawbacks. An SLR is a secondary method, which, however, is limited in coverage, quality, and completeness of the published literature and has the possibility for publication bias, as it synthesizes existing findings instead of observing reshoring. The resulting bias of relying on a single discovery platform, limiting to English-language sources with accessible full texts, and the retrospective nature of the original exploratory search is compensated by the documented nature of the update search, but does not eliminate it. This is also highlighted by the corpus's own caution; as there is a difference in weight between the various types of evidence — direct, review and conceptual — it is impossible to draw conclusions about a barrier claim's strength from the frequency of its occurrence. Most important, true Asia-specific direct implementation evidence is based on very few cases (mainly two single cases of returns from China), with findings reported as illustrative rather than generalisable, as clearly stated in the results and in the limitations discussion.</w:t>
      </w:r>
    </w:p>
    <w:p>
      <w:r>
        <w:t>The findings of this synthesis are reported in the next chapter: the barriers found in the literature, clustered into the four categories of the firm-level framework.</w:t>
      </w:r>
    </w:p>
    <w:p>
      <w:pPr>
        <w:pStyle w:val="Heading1"/>
      </w:pPr>
      <w:r>
        <w:t>4 Results</w:t>
      </w:r>
    </w:p>
    <w:p>
      <w:r>
        <w:t>This chapter presents the reshoring implementation barriers from the reviewed literature, first the evidence base on which the synthesis is based, followed by the evidence synthesized category-wise, and finally, the evidence that appears to have the broadest acceptance from the corpus, namely the asset/capability barriers.</w:t>
      </w:r>
    </w:p>
    <w:p>
      <w:pPr>
        <w:pStyle w:val="Heading2"/>
      </w:pPr>
      <w:r>
        <w:t>4.1 Overview of the Analytical Sample and Barrier Landscape</w:t>
      </w:r>
    </w:p>
    <w:p>
      <w:r>
        <w:t>The barrier synthesis is based on a formal analytical sample of 21 sources described in Chapter 3. Fifteen of these sources provide barrier evidence and are represented here, and one further source (Tsai &amp; Urmetzer, 2024) is in the formal sample but used as a basis for terminology and frameworks and not cited for barrier finding.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with a third supporting empirical study (Robinson &amp; Hsieh, 2016) providing only contextual evidence. The evidence from literature is derived from six sources (Pedroletti &amp; Ciabuschi, 2023; Wiesmann et al., 2017; Espíndola et al., 2023; Di Stefano &amp; Fratocchi, 2019; Ocicka, 2016; Bilbao-Ubillos et al., 2024), while conceptual argument from additional two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single-cases; the first concerns a case from China to UK (Pegoraro et al., 2022), and the second concerns a partial reshoring from China to Italy (Pedroletti, 2025). Two of the four case firms moved production out of China in the multi-case study, Di Mauro et al. (2018), although the findings are not always attributed to the individual cases. The four fashion cases of Boffelli et al. (2021) are by contrast Romanian, Moroccan, Croatian and Hungarian host-areas and thus the results of this implementation enter the synthesis as general, rather than Asia-specific evidence. The results of Li et al. (2025) are also presented as general Nordic/Swedish evidence, except that it specifically mentions China among the host locations that are impacted by strict layoff regulations (see Section 4.2).</w:t>
      </w:r>
    </w:p>
    <w:p>
      <w:r>
        <w:t>The eighteen themes, the types of evidence that support each, and the themes' Asia-specificity are summarized in Table 2.</w:t>
      </w:r>
    </w:p>
    <w:p>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&amp;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&amp;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&amp;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&amp;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&amp;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&amp;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&amp;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The study by Li et al. (2025) explicitly mentions Poland and China as countries of offshoring that had strict rules regarding layoffs, but the results are presented for the sample and not broken down by individual host country; nevertheless, strict host-country layoff regulations, the difficulty of closing or quickly reducing offshore operations, locked investments, and high exit costs were cited as barriers among the Swedish manufacturing companies examined in their study. Convergent constraints are discussed in the back-shoring literature, including national closure regulations, foreign-plant exit costs in the form of closure-fees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the competitive domestic manufacturing is the lack of match between the national education system and manufacturing skill needs, as noted by Mirzaei et al. (2021). Gupta et al. (2023) theoretically define home-country regulatory compliance as a constraint, and when it imposes high costs, delays, or requirements for capabilities, it is a barrier.</w:t>
      </w:r>
    </w:p>
    <w:p>
      <w:pPr>
        <w:pStyle w:val="Heading2"/>
      </w:pPr>
      <w:r>
        <w:t>4.3 Cultural/Organisational Barriers</w:t>
      </w:r>
    </w:p>
    <w:p>
      <w:r>
        <w:t>The most direct evidence in this category relates to the implementation stage itself. In the four fashion-industry relocation cases examined by Boffelli et al. (2021), the failure of relocation initiatives was directly linked to errors in the implementation phase, and the authors identify insufficient internal organisational readiness, managerial behavioural biases, and learning through trial-and-error during implementation as implementation-stage problems; the central conclusion of the study is that reshoring succeeds only if firms manage implementation correctly. These findings are general implementation evidence for the cases of Romanian, Moroccan, Croatian and Hungarian host locations. The literature reviewed reveals related organisational weaknesses: the immaturity of firms' reshoring processes and internal communication gaps (Wiesmann et al., 2017), and, conceptually, a managerial-capability gap has been argued to limit reshoring, especially for smaller firms (D'Ambrosio &amp; Lavoratori, 2025).</w:t>
      </w:r>
    </w:p>
    <w:p>
      <w:r>
        <w:t>The second, less common discovery relates to the internal structure of the firm. According to Mirzaei et al. (2021), the challenges to competitive domestic manufacturing include silos between product development, production, sourcing, sales, and finance, and lack of employee involvement. This is evidence from one study in the general context of the home-country in Sweden and not a pattern across the corpus.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and an automation-scale threshold has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Mirzaei et al. (2021) conclude that even after production is resumed, companies can continue to rely on foreign suppliers due to the absence of domestic materials, specialised components, supplier know-how, or adequate scale. Di Mauro et al. (2018) also identify a shortage of suppliers in high-cost home countries and the need to rebuild suppliers as challenges associated with backshoring, though the specific cases are not identified in the four cases in that study, two of which were backshored from China. The theme is echoed in the review literature: weak home-country supplier capacity, local networks, and supply-chain integration are reported as barriers (Wiesmann et al., 2017), and the erosion of domestic supplier networks is identified as an implementation concern discussed in the reshoring literature (Ocicka, 2016). A domestic quality-supplier gap is also conceptually noted (Gupta et al., 2023).</w:t>
      </w:r>
    </w:p>
    <w:p>
      <w:r>
        <w:t>The return creates new costs. In the Swedish companies examined by Li et al. (2025), cost miscalculation was found when the cost problems occurred during or after relocation. Implementation-cost escalation and cost-coordination complexity are among the barriers at the reshoring-Industry 4.0 intersection at the review level (Espíndola et al., 2023). The new fixed costs of reshoring (building or rebuilding a plant, buying or rebuilding equipment and automation, hiring and training workers, and rebuilding a domestic supplier network) are conceptually described as among the most direct implementation barriers by D'Ambrosio and Lavoratori (2025), while switching and reconfiguration costs (including duplicate operations during the transition) are conceptually identified by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was identified as a challenge by all five case companies investigated by Mirzaei et al. (2021), as well as high energy and overhead costs; labour, overhead, and total costs were also among the most common barriers mentioned by the Swedish companies in the study by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multi-case fashion study by Boffelli et al. (2021) identified the underestimation of operational adjustments during the transfer as the most significant barrier to implementation, which is related to the reconfiguration of the manufacturing process and the adaptation of the internal production. The finding is the study's own and is not extrapolated beyond the four cases.</w:t>
      </w:r>
    </w:p>
    <w:p>
      <w:pPr>
        <w:pStyle w:val="Heading2"/>
      </w:pPr>
      <w:r>
        <w:t>4.5 Asset/Capability Barriers</w:t>
      </w:r>
    </w:p>
    <w:p>
      <w:r>
        <w:t>The most widely cited barrier in the corpus is the loss of domestic skilled labour and manufacturing competence, which is found in direct case evidence, throughout the review literature and in conceptual argument. In the China-to-UK case reported by Pegoraro et al. (2022), the company did not have the knowledge to make the part on its own; in this case, the learning curve (getting the equipment to work, training employees, gaining experience, and achieving acceptable quality) took about a year. Li et al. (2025) found an internal competence gap (competencies lost over years of offshoring) and Mirzaei et al. (2021) found a domestic skilled-labour shortage (loss of tacit knowledge, lack of core manufacturing competencies, and high training time and cost) among Swedish firms. Di Mauro et al. (2018) state that lack of specialised manpower and loss of domestic competences are constraints in implementing the return. A shortage of skilled labour (Wiesmann et al., 2017), a technical-skills shortage and a generational manufacturing-skills gap (Ocicka, 2016), and a digital technical-skills shortage (Bilbao-Ubillos et al., 2024) are reported at the review level, while a domestic skilled-workforce shortage (D'Ambrosio &amp; Lavoratori, 2025) and a domestic labour-availability gap (Gupta et al., 2023) are argued conceptually.</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and Mirzaei et al. (2021) reported a domestic production-capacity gap (insufficient facilities, equipment limits, and investment resources). The review literature documents a domestic capacity shortage and an infrastructure lock-out after a long period of offshoring (Wiesmann et al., 2017), and the theme is conceptually mentioned in the new-fixed-costs argument (D'Ambrosio &amp; Lavoratori, 2025) and in a conceptually noted domestic infrastructure gap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(Wiesmann et al., 2017) and offshore knowledge dependence (Bilbao-Ubillos et al., 2024) are reported, and knowledge-transfer ambiguity — knowledge residing with offshore employees, subsidiaries, suppliers, or the host-country network — is conceptually identified (Gupta et al., 2023).</w:t>
      </w:r>
    </w:p>
    <w:p>
      <w:r>
        <w:t>Established value chains also exhibit inertia. Offshore sunk-cost inertia is reported at review level (Bilbao-Ubillos et al., 2024), and D'Ambrosio and Lavoratori (2025) argue conceptually that value chains are "sticky", especially for large firms, due to sunk investment, established supplier relationships, specialised infrastructure, and location-specific knowledge.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pPr>
        <w:pStyle w:val="Heading1"/>
      </w:pPr>
      <w:r>
        <w:t>5 Discussion</w:t>
      </w:r>
    </w:p>
    <w:p>
      <w:r>
        <w:t>This chapter is an interpretation of the eighteen barrier themes reported in Chapter 4, what they mean for firms returning production from Asian host countries, how they reinforce one another, and what follows from them theoretically and managerially. Interpretations made by this thesis are differentiated from findings reported by the original studies throughout, and evidence of direct implementation is given more analytical weight than evidence at the review level or conceptual level.</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reported by Pegoraro et al. (2022), where the acquisition of the machinery was only the first step: the company had to acquire tooling, software, technical services, and train its workforce for about a year before production quality was acceptable.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while reshoring companies in labour-intensive sectors experienced a shortage of skilled workforce (Di Mauro et al., 2018). The same cluster is found in review-level syntheses in the broader literature (Wiesmann et al., 2017; Ocicka, 2016). The results of Li et al. (2025), however, are presented at the level of their Swedish sample and not disaggregated by host country;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and in the conceptual literature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reported by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Boffelli et al. (2021) discovered that relocation failures were directly linked to implementation-stage errors, meaning that if a firm is not ready, any other obstacle it faces becomes a failure, as what a ready firm can overcome becomes a failure for an unprepared firm. Organisational readiness should thus not be interpreted as one of eighteen barriers, but rather as a condition that influences the impact of the other barriers. The cases of Boffelli et al. (2021) were not Asian, but European and North African host countries, so this is not an Asia-specific finding, but rather a description of a general implementation mechanism.</w:t>
      </w:r>
    </w:p>
    <w:p>
      <w:r>
        <w:t>It is important to highlight the difference between full and partial reshoring, as this alters the meaning of "barrier". In the traditional interpretation, a barrier is an element that increases the difficulty or failure of reshoring. The evidence from Pedroletti (2025) suggests a second possibility: barriers can limit the extent of reshoring, resulting in a hybrid scenario where some production is brought back and some stays offshore.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automotive supplier that returned from China to the United Kingdom (Pegoraro et al., 2022) and one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and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(Li et al., 2025), the closure fees and layoff constraints reported in the review literature (Di Stefano &amp; Fratocchi, 2019), and the contractual and intellectual-property constraints that prevent a firm from simply relocating production it does not fully control (Li et al., 2025) are all the price of dismantling governance structures built around specific assets.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(Boffelli et al., 2021) and faced cost surprises when relocating (Li et al., 2025) not because they were negligent, but because they could not have all the information required to make a full ex ante calculation of an implementation process.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and the general evidence on skills shortages, generational knowledge loss, and supplier-network gaps (Di Mauro et al., 2018; Mirzaei et al., 2021; Ocicka, 2016) shows the same logic at sample level.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which from a TCE perspective involves switching costs and a hold-up risk (Williamson, 1985), and from an RBV perspective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in Pedroletti's (2025) study is more of a network and embeddedness phenomenon, as trust and mutual orientation are not firm-level costs or resources, but rather a relationship-level phenomenon; and the education-system mismatch reported by Mirzaei et al. (2021) is an institutional condition, which neither TCE nor RBV directly addresses, as no individual firm can transact or resource its way out of a national skills shortage.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the data on cost miscalculation (Li et al., 2025) and underestimated operational adjustments (Boffelli et al., 2021) indicate that companies plan the visible part of the transaction — equipment, freight, facilities — while underestimating transition costs, ramp-up losses, and coordination burdens; the total-cost-of-acquisition logic of the reshoring literature (Ocicka, 2016) is applicable to leaving Asia as much as it is to going there.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the cost of exit in the firms examined by Li et al. (2025) were influenced by layoff policies, closure policies, and contractual requirements, and the literature review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Since the domestic supplier base might have been diluted over the offshoring years (Ocicka, 2016; Mirzaei et al., 2021), supplier mapping and early involvement in the ecosystem of the home region, including training institutions, equipment suppliers, industrial-support organisations, are suggested, as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(Boffelli et al., 2021), along with the evidence of internal silos and poor employee engagement in domestic manufacturing (Mirzaei et al., 2021), suggests the importance of cross-functional coordination — the introduction of production, sourcing, product development, and finance into the reshoring programme early — and the need to treat the return as an organisational change project, rather than a logistics exercise.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corpus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(Boffelli et al., 2021), the new fixed and coordination costs that a return brings, and, less obviously but still, by host-country exit constraints like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pPr>
        <w:pStyle w:val="Heading1"/>
      </w:pPr>
      <w:r>
        <w:t>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coding summarised in Table 1 (Chapter 3, Section 3.3); Asia-specificity qualifications are summarised in Table 2 (Chapter 4, Section 4.1).</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Theme</w:t>
            </w:r>
          </w:p>
        </w:tc>
        <w:tc>
          <w:tcPr>
            <w:tcW w:type="dxa" w:w="2340"/>
          </w:tcPr>
          <w:p>
            <w:pPr>
              <w:spacing w:line="240" w:lineRule="auto"/>
            </w:pPr>
            <w:r>
              <w:rPr>
                <w:b/>
                <w:sz w:val="20"/>
              </w:rPr>
              <w:t>Framework category</w:t>
            </w:r>
          </w:p>
        </w:tc>
        <w:tc>
          <w:tcPr>
            <w:tcW w:type="dxa" w:w="2340"/>
          </w:tcPr>
          <w:p>
            <w:pPr>
              <w:spacing w:line="240" w:lineRule="auto"/>
            </w:pPr>
            <w:r>
              <w:rPr>
                <w:b/>
                <w:sz w:val="20"/>
              </w:rPr>
              <w:t>Source</w:t>
            </w:r>
          </w:p>
        </w:tc>
        <w:tc>
          <w:tcPr>
            <w:tcW w:type="dxa" w:w="2340"/>
          </w:tcPr>
          <w:p>
            <w:pPr>
              <w:spacing w:line="240" w:lineRule="auto"/>
            </w:pPr>
            <w:r>
              <w:rPr>
                <w:b/>
                <w:sz w:val="20"/>
              </w:rPr>
              <w:t>Evidence type</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 (core argument)</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(only where actual cost difficulties occurred)</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(labour cost named by all five firms)</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2.4</w:t>
            </w:r>
          </w:p>
        </w:tc>
        <w:tc>
          <w:tcPr>
            <w:tcW w:type="dxa" w:w="2340"/>
          </w:tcPr>
          <w:p>
            <w:pPr>
              <w:spacing w:line="240" w:lineRule="auto"/>
            </w:pPr>
            <w:r>
              <w:rPr>
                <w:sz w:val="20"/>
              </w:rPr>
              <w:t>Cost/Operational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2.5</w:t>
            </w:r>
          </w:p>
        </w:tc>
        <w:tc>
          <w:tcPr>
            <w:tcW w:type="dxa" w:w="2340"/>
          </w:tcPr>
          <w:p>
            <w:pPr>
              <w:spacing w:line="240" w:lineRule="auto"/>
            </w:pPr>
            <w:r>
              <w:rPr>
                <w:sz w:val="20"/>
              </w:rPr>
              <w:t>Cost/Operational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(top-rated barrier in study;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3.2</w:t>
            </w:r>
          </w:p>
        </w:tc>
        <w:tc>
          <w:tcPr>
            <w:tcW w:type="dxa" w:w="2340"/>
          </w:tcPr>
          <w:p>
            <w:pPr>
              <w:spacing w:line="240" w:lineRule="auto"/>
            </w:pPr>
            <w:r>
              <w:rPr>
                <w:sz w:val="20"/>
              </w:rPr>
              <w:t>Cultural/Organisational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3.3</w:t>
            </w:r>
          </w:p>
        </w:tc>
        <w:tc>
          <w:tcPr>
            <w:tcW w:type="dxa" w:w="2340"/>
          </w:tcPr>
          <w:p>
            <w:pPr>
              <w:spacing w:line="240" w:lineRule="auto"/>
            </w:pPr>
            <w:r>
              <w:rPr>
                <w:sz w:val="20"/>
              </w:rPr>
              <w:t>Cultural/Organisational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3.4</w:t>
            </w:r>
          </w:p>
        </w:tc>
        <w:tc>
          <w:tcPr>
            <w:tcW w:type="dxa" w:w="2340"/>
          </w:tcPr>
          <w:p>
            <w:pPr>
              <w:spacing w:line="240" w:lineRule="auto"/>
            </w:pPr>
            <w:r>
              <w:rPr>
                <w:sz w:val="20"/>
              </w:rPr>
              <w:t>Cultural/Organisational</w:t>
            </w:r>
          </w:p>
        </w:tc>
        <w:tc>
          <w:tcPr>
            <w:tcW w:type="dxa" w:w="2340"/>
          </w:tcPr>
          <w:p>
            <w:pPr>
              <w:spacing w:line="240" w:lineRule="auto"/>
            </w:pPr>
            <w:r>
              <w:rPr>
                <w:sz w:val="20"/>
              </w:rPr>
              <w:t>Pedroletti &amp; Ciabuschi (2023)</w:t>
            </w:r>
          </w:p>
        </w:tc>
        <w:tc>
          <w:tcPr>
            <w:tcW w:type="dxa" w:w="2340"/>
          </w:tcPr>
          <w:p>
            <w:pPr>
              <w:spacing w:line="240" w:lineRule="auto"/>
            </w:pPr>
            <w:r>
              <w:rPr>
                <w:sz w:val="20"/>
              </w:rPr>
              <w:t>Review (reported as under-researched dimension / gap)</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China named among affected hosts)</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w:t>
            </w:r>
          </w:p>
        </w:tc>
      </w:tr>
      <w:tr>
        <w:tc>
          <w:tcPr>
            <w:tcW w:type="dxa" w:w="2340"/>
          </w:tcPr>
          <w:p>
            <w:pPr>
              <w:spacing w:line="240" w:lineRule="auto"/>
            </w:pPr>
            <w:r>
              <w:rPr>
                <w:sz w:val="20"/>
              </w:rPr>
              <w:t>4.2</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 (limited, context-dependent evidence)</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(education/industry skills mismatch)</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