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trP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set out to answer a question that the reshoring literature had left largely open: what barriers manufacturing firms face when attempting to bring production back from Asia after the decision to reshore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 constraints are further complicated by the underestimation of operational changes and gaps in organisational readiness (Boffelli et al., 2021). Reshoring also creates new fixed and coordination costs (Li et al., 2025; Pedroletti, 2025). A less visible but lasting obstacle lies in host-country exit constraints. Strict layoff regulations in offshored locations can lock production and investments in place and raise the cost of exit (Li et al., 2025). Obligations connected to the closure of a foreign plant are a further constraint reported in the literature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were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comprehensive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 the domestic supplier and training ecosystem has weakened, firms may need to engage with relevant regional actors at an early stage. If the reliance on Asian suppliers cannot be unwound rapidly, a phased or partial approach may reduce risk, but managers must then plan for cross-country coordination as a permanent operating state. These measures also point to the importance of implementation capacity. Understood as cross-functional coordination and organisational readiness, it is a resource that firms should develop intentionally, as the evidence suggests that it is what makes the other barriers more or less harmful.</w:t>
      </w:r>
    </w:p>
    <w:p>
      <w:r>
        <w:t>The main contribution of this thesis is a consolidated firm-level framework of the barriers to reshoring implementation from Asian markets. These barriers had previously been discussed separately across the literature. The framework interprets them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The findings are subject to several limitations. The formal analytical sample consists of twenty-one studies, and the direct implementation evidence that is genuinely Asia-specific comes from two single case studies, both reporting returns from China to Western Europe (Pegoraro et al., 2022; Pedroletti, 2025). The framework is thus best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should therefore be treated as a distinct implementation project that involves separate costs and may result in only a partial return.</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t>This appendix presents the source-by-source coding records underlying the barrier framework. For each barrier theme, it identifies the contributing studies and distinguishes between direct empirical, review-based, and conceptual evidence. The main text presents representative coding examples, while the complete records are provided here.</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 Domestic skilled-labour and competence gap</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 Domestic capacity, facilities and machinery gap</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 Host-supplier dependence and knowledge lock-in</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 Host-supplier dependence and knowledge lock-in</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 Host-supplier dependence and knowledge lock-in</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 Host-supplier dependence and knowledge lock-in</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 Host-supplier dependence and knowledge lock-in</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 GVC stickiness / offshore sunk-cost inertia</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 GVC stickiness / offshore sunk-cost inertia</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 Regional ecosystem readiness</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 Regional ecosystem readiness</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 Hollowed-out supply base / supplier-network rebuilding</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 Hollowed-out supply base / supplier-network rebuilding</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 Hollowed-out supply base / supplier-network rebuilding</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 Hollowed-out supply base / supplier-network rebuilding</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 Hollowed-out supply base / supplier-network rebuilding</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 New fixed costs and switching/reconfiguration costs</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 New fixed costs and switching/reconfiguration costs</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 New fixed costs and switching/reconfiguration costs</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 New fixed costs and switching/reconfiguration costs</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 High-cost home environment</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 High-cost home environment</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 High-cost home environment</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 Hybrid-operation coordination complexity (partial reshoring)</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 Underestimated operational adjustments</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general, non-Asian hosts)</w:t>
            </w:r>
          </w:p>
        </w:tc>
      </w:tr>
      <w:tr>
        <w:tc>
          <w:tcPr>
            <w:tcW w:type="dxa" w:w="2340"/>
          </w:tcPr>
          <w:p>
            <w:pPr>
              <w:spacing w:line="240" w:lineRule="auto"/>
            </w:pPr>
            <w:r>
              <w:rPr>
                <w:sz w:val="18"/>
              </w:rPr>
              <w:t>3.1 Organisational readiness, behavioural biases, learning-by-trial</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(general, non-Asian hosts)</w:t>
            </w:r>
          </w:p>
        </w:tc>
      </w:tr>
      <w:tr>
        <w:tc>
          <w:tcPr>
            <w:tcW w:type="dxa" w:w="2340"/>
          </w:tcPr>
          <w:p>
            <w:pPr>
              <w:spacing w:line="240" w:lineRule="auto"/>
            </w:pPr>
            <w:r>
              <w:rPr>
                <w:sz w:val="18"/>
              </w:rPr>
              <w:t>3.1 Organisational readiness, behavioural biases, learning-by-trial</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 Organisational readiness, behavioural biases, learning-by-trial</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 Intra-organisational silos and weak employee involvement</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 Adverse host-supplier relational response</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 Governance mode of the return (gap)</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 Digital/organisational adaptation burden</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 Digital/organisational adaptation burden</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 Digital/organisational adaptation burden</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 Digital/organisational adaptation burden</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 Host-country exit regulation</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 Host-country exit regulation</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 Social-responsibility and workforce-resistance exit constraints</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 Home-country compliance burden and institutional frictions</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 Home-country compliance burden and institutional frictions</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analytical sample but serves terminology and framework purposes only and therefore has no barrier-theme entry. (ii) Robinson and Hsieh (2016) likewise has no barrier-theme entry: it contributes driver and strategic-renewal evidence, not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