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w:t>
      </w:r>
    </w:p>
    <w:p>
      <w:r>
        <w:t>Both complications shape the structure of this chapter. Section 2.1 clarifies the concept of reshoring and separates it from neighbouring forms of relocation that fall outside the scope of this thesis. Section 2.2 presents the two theoretical perspectives used to interpret the results, Transaction Cost Economics and the Resource-Based View. Section 2.3 draws the distinction between the drivers of reshoring and the implementation barriers that are the subject of this study, and Section 2.4 reviews the existing knowledge on reshoring barriers and identifies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how the study was designed and carried out. 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w:t>
      </w:r>
    </w:p>
    <w:p>
      <w:r>
        <w:t>The chapter therefore documents the three steps on which the synthesis is built. Section 3.1 explains why a systematic literature review is the appropriate design for the research questions. Section 3.2 describes the literature search and the criteria used to select the analytical sample, summarised in the flow diagram in Figure 1. Section 3.3 explains how the findings of the included studies were coded into barrier themes and how those themes were organised within the four categories of the firm-level framework, illustrated in Table 1. Methodological limitations are discussed in Section 5.4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r>
        <w:br w:type="page"/>
      </w:r>
    </w:p>
    <w:p>
      <w:pPr>
        <w:pStyle w:val="Heading1"/>
      </w:pPr>
      <w:r>
        <w:t>4 Results</w:t>
      </w:r>
    </w:p>
    <w:p>
      <w:r>
        <w:t>This chapter reports what the reviewed literature shows about the barriers manufacturing firms face when implementing reshoring from Asian markets. Two reading rules apply throughout the chapter.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w:t>
      </w:r>
    </w:p>
    <w:p>
      <w:r>
        <w:t>The chapter proceeds from the evidence base to the barriers themselves. Section 4.1 describes the analytical sample and presents the overview of all eighteen barrier themes in Table 2. Sections 4.2 to 4.5 then report the barriers by framework category, ending with the asset/capability category, which has the broadest support in the reviewed literature.</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interprets the eighteen barrier themes reported in Chapter 4. 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w:t>
      </w:r>
    </w:p>
    <w:p>
      <w:r>
        <w:t>Section 5.1 discusses the overall pattern of the results and the interactions between the barrier categories. Section 5.2 interprets the findings through Transaction Cost Economics and the Resource-Based View, and Section 5.3 derives the managerial implications that answer the second sub-question of the thesis. Section 5.4 sets out the limitations of the study and the research directions that follow from them. Throughout the chapter, interpretations made by this thesis are distinguished from findings reported by the original studies, and direct implementation evidence is given more analytical weight than review-level or conceptual evidence.</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