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pPr>
        <w:pStyle w:val="Heading2"/>
      </w:pPr>
      <w:r>
        <w:t>Acknowledgements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(Xing et al., 2024; Yang, 2016).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 (Tsai &amp; Urmetzer, 2024).</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 (Barbieri et al., 2020).</w:t>
      </w:r>
    </w:p>
    <w:p>
      <w:r>
        <w:t>In this context, reshoring has become a topic of increasing interest for companies, policymakers, and academics (Barbieri et al., 2020; Pedroletti &amp; Ciabuschi, 2023).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(Boffelli et al., 2021),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(Pedroletti &amp; Ciabuschi, 2023; Wiesmann et al., 2017).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(Gao et al., 2022).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not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draws on a variety of theoretical approaches, with no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(Wiesmann et al., 2017).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not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instead of being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not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without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instead of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not generalisable, a constraint stated explicitly in the results and the limitations discussion.</w:t>
      </w:r>
    </w:p>
    <w:p>
      <w:r>
        <w:t>The next chapter reports the results of this synthesis: the barriers identified in the literature, organised within the four categories of the firm-level framework.</w:t>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not Asia-specific, evidence. The findings of Li et al. (2025) are likewise reported as general Nordic/Swedish evidence, with one exception noted in Section 4.2: the study explicitly names China among the host locations affected by strict layoff regulations.</w:t>
      </w:r>
    </w:p>
    <w:p>
      <w:r>
        <w:t>Table 1 summarises the eighteen themes, the evidence types behind each, and their Asia-specificity; the complete coding table cross-referencing every theme to its contributing sources is provided in Appendix B.</w:t>
      </w:r>
    </w:p>
    <w:p>
      <w:r>
        <w:rPr>
          <w:b/>
        </w:rPr>
        <w:t>Table 1.</w:t>
      </w:r>
      <w:r>
        <w:t xml:space="preserve"> </w:t>
      </w:r>
      <w:r>
        <w:rPr>
          <w:i/>
        </w:rPr>
        <w:t>The eighteen reshoring implementation-barrier themes by framework category, the evidence types available for each theme, and the Asia-specificity of the supporting evidence. Full source-by-source cross-references are given in Appendix B.</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and not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more than purchasing technology — it means changing routines, responsibilities, information flows, and supplier and customer relationships,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does not block physical relocation; it constrains the viability and scale of reshoring.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reshoring, in place of a full return, functioned as a response to the practical impossibility of fully replacing the Chinese network. The gap concerned this specific, specialised capability, not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Taken together,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Chapter 5 interprets these findings.</w:t>
      </w:r>
    </w:p>
    <w:p>
      <w:pPr>
        <w:pStyle w:val="Heading1"/>
      </w:pPr>
      <w:r>
        <w:t>5 Discussion</w:t>
      </w:r>
    </w:p>
    <w:p>
      <w:r>
        <w:t>This chapter interprets the eighteen barrier themes reported in Chapter 4: what they mean for firms returning production from Asian host countries, how they reinforce one another, and what follows from them theoretically and managerially. Throughout, interpretations developed by this thesis are distinguished from findings stated by the original studies, and direct implementation evidence carries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do not operate independently — they interact.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not Asia, so this interpretation describes a general implementation mechanism, not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points to under-observation more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evidence-based considerations, not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reflects one case's experience, not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not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and without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(Pegoraro et al., 2022). Closely linked to this is dependence on specialised host-country suppliers, which in the documented case evidence constrained not only how a return was carried out but how much of it was possible at all (Pedroletti, 2025). These capability-side difficulties are compounded by underestimated operational adjustments and organisational readiness gaps (Boffelli et al., 2021), by the new fixed and coordination costs that a return generates, and, less visibly but persistently, by host-country exit constraints such as layoff regulations and closure obligations (Li et al., 2025).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 1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not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(Pegoraro et al., 2022; Pedroletti, 2025). The framework is therefore best understood as a structured map of what the current literature shows — not a ranking of universal obstacles, and not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Asia-specificity qualifications are summarised in Table 1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