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and firm-level research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and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that is consistent with this logic includes the existence of strict layoff regulations in the host country, and locked investments that make it difficult to exit the host country quickly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and firms are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(Wiesmann et al., 2017), the lack of specialized manpower faced by reshoring firms (Di Mauro et al., 2018), and the need to rebuild machinery, tooling, and workforce skills documented in case evidence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Di Mauro et al. (2018) conclude that offshoring is primarily motivated by cost reduction, while backshoring typically occurs as a result of a strategic reorientation towards customer perceived value and that the return is not necessarily a managerial error, but rather a strategic evolution. Quantitative firm-level evidence links reshoring decisions to home-country conditions (Wan et al., 2019) and to Industry 4.0 adoption, pandemic experience, and made-in effects (Stentoft et al., 2025), while survey and case research has explored the link between digital-technology adoption and backshoring decisions (Kamp &amp; Gibaja,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is given by Boffelli et al. (2021) who analyze four relocation cases in the fashion sector and differentiate between decision-making mistakes and implementation mistakes.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the literature review by Wiesmann et al. (2017), who classify both drivers and barriers into five sets of dynamics: global competitive dynamics, home-country, host-country, supply-chain and firm-specific factors.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such as a China-to-UK case that documents skills, machinery and ramp-up difficulties (Pegoraro et al., 2022) and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pPr>
        <w:pStyle w:val="Heading1"/>
      </w:pPr>
      <w:r>
        <w:t>3 Research Methodology</w:t>
      </w:r>
    </w:p>
    <w:p>
      <w:r>
        <w:t>This chapter outlines the design and implementation of the thesis and discusses the rationale for conducting a systematic literature review for the thesis' research questions, the process of collecting and screening the source material, quality assessment of the included evidence, and the analysis of the collected evidence in order to create the framework of barriers at the firm-level. The chapter ends with methodological weaknesses of the method.</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A literature review itself can be used as a research method, and there are three types of literature review — systematic, semi-systematic, and integrative — that can be used for a variety of purposes (Snyder, 2019).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organised in four phases of the review process: designing the review, conducting the review, analysing the review, and writing the review (Snyder, 2019). The framework is used here in its general form as a methodological reason, and reporting and synthesis guidance is provided in the following sections.</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was documented using the PRISMA 2020 reporting guidelines (Page, McKenzie, et al., 2021; Page, Moher, et al., 2021), which were not used as a tool of evidence synthesis, but rather as a tool to report on identification, screening, and inclusion. There was only a single literature-discovery tool: Google Scholar. The literature search started in late June 2026 and concluded in the following few weeks, and included a combination of topic-related terms, backward and forward citation searches, and the "related articles" features in Google Scholar: reshoring, backshoring, manufacturing reshoring, reshoring barriers, reshoring implementation, and terms related to supplier dependence, capabilities, and transfer of production. This process was exploratory, not based on a pre-defined list of search strings, and was not prospectively documented, so there are no definitive strings or number of results reported. This process, by the beginning of July, had resulted in the bulk of the literature utilized for this thesis.</w:t>
      </w:r>
    </w:p>
    <w:p>
      <w:r>
        <w:t>A final documented update search was conducted on 15 July 2026 in Google Scholar, to increase the transparency of the search process. The three predefined strings were run with the results recorded as they occurred: search date, exact string, results shown, records screened and exclusions noted with reasons. This was merely a review of the current stock but not the beginning of literature search. 102 records were screened across the three strings, of which 11 records matched with sources already in the corpus. Most others were not included, primarily because they were either macro- or policy-level oriented, focused on nearshoring as opposed to genuine reshoring, or were not easily accessible or not peer-reviewed. There was no new source added due to this. Together with the full-text stage of the earlier search process, this update search provides the documented record of the study-selection process, which is summarised in the PRISMA 2020 flow diagram in Figure 1.</w:t>
      </w:r>
    </w:p>
    <w:p>
      <w:pPr>
        <w:spacing w:line="240" w:lineRule="auto"/>
        <w:jc w:val="center"/>
      </w:pPr>
      <w:r>
        <w:drawing>
          <wp:inline xmlns:a="http://schemas.openxmlformats.org/drawingml/2006/main" xmlns:pic="http://schemas.openxmlformats.org/drawingml/2006/picture">
            <wp:extent cx="5669280" cy="6402885"/>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402885"/>
                    </a:xfrm>
                    <a:prstGeom prst="rect"/>
                  </pic:spPr>
                </pic:pic>
              </a:graphicData>
            </a:graphic>
          </wp:inline>
        </w:drawing>
      </w:r>
    </w:p>
    <w:p>
      <w:pPr>
        <w:pStyle w:val="FigureCaption"/>
      </w:pPr>
      <w:r>
        <w:rPr>
          <w:b/>
        </w:rPr>
        <w:t>Figure 1.</w:t>
      </w:r>
      <w:r>
        <w:t xml:space="preserve"> </w:t>
      </w:r>
      <w:r>
        <w:rPr>
          <w:i/>
        </w:rPr>
        <w:t>PRISMA 2020 flow diagram of the study-selection process. The left arm reports the documented update search; the right arm reports the reconstructable full-text stage of the original exploratory search process.</w:t>
      </w:r>
    </w:p>
    <w:p>
      <w:r>
        <w:t>Duplicate entries were handled, and titles, abstracts, and available full text were then screened for eligibility based on the eligibility criteria. Google Scholar does not filter automatically by peer-review status, publication type or language, thus these were manually checked for all the candidate sources. Only sources in English language, and with full texts available online, were included and a source had to be relevant to manufacturing reshoring, and meet the thesis definition of reshoring to be included in the formal analytical sample.</w:t>
      </w:r>
    </w:p>
    <w:p>
      <w:r>
        <w:t>Studies were required to address the actual reshoring process, the return of manufacturing to the company's home country. Barrier coding was not included for studies on China+1, China-to-Southeast-Asia relocation, re-offshoring, nearshoring without a return home, or foreign-to-foreign relocation because these are not considered to be a true reshoring; a few of these were included with contextual notes in the Introduction and Discussion. Asia specificity was not always reported in the literature as a specific host location, so was recorded as a rating for all sources used and only results relating to an explicit Asian host location with a return home are reported as Asia-specific in the Results.</w:t>
      </w:r>
    </w:p>
    <w:p>
      <w:r>
        <w:t>A total of 34 sources are used for the corpus. The barrier framework is based on 21 peer-reviewed studies on reshoring. Further contextual and policy sources, such as macro level relocation patterns and the China+1 dynamics, are described in the Introduction and Discussion but were not coded at the barrier level as they reflect the broader environment but not the level of implementation of the barriers. The research design and coding and synthesis procedures have been justified by five methodology sources, and do not present any barrier evidence. The documented selection record thus only encompasses the 21 studies that form the formal analytical sample; the methodology sources are not counted and the contextual sources are reported separately. The 21 studies included in the formal analytical sample are: 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w:t>
      </w:r>
    </w:p>
    <w:p>
      <w:r>
        <w:t>All the sources in the formal sample were also described in terms of two dimensions. The first specifies the kind of evidence that it gives, because it can be of different quality and has a different evidential status, and because it cannot be equated. The second is an Asia-specificity rating (high, medium, or low), assigned as high if the data or case in a source explicitly references an Asian host location and a return home. The two dimensions influenced the interpretation and reporting of the evidence throughout the thesis and referred to the extent to which the evidence was relevant and the nature of the evidence without addressing the methodological quality of each source. A single researcher conducted screening and selection; this is a limitation noted.</w:t>
      </w:r>
    </w:p>
    <w:p>
      <w:pPr>
        <w:pStyle w:val="Heading2"/>
      </w:pPr>
      <w:r>
        <w:t>3.3 Data Analysis Techniques</w:t>
      </w:r>
    </w:p>
    <w:p>
      <w:r>
        <w:t>The evidence that was included was analysed using an adapted three-stage process for synthesising findings across studies (Thomas &amp; Harden, 2008). In the first phase, the findings of relevant studies in the included studies were coded on the level of meaningful evidence segments. The second stage involved grouping codes into descriptive categories, which remained close to the content of the main studies, when they were conceptually similar. In the third stage, descriptive themes were interpreted to generate higher-order analytical themes to answer the research questions and exceed those identified by any single study individually. One of the strengths of this procedure is that it allows for an audit trail to be kept from the conclusions made in the review to the original text of the primary studies, enabling each analytical theme to be followed through the descriptive themes to the coded evidence.</w:t>
      </w:r>
    </w:p>
    <w:p>
      <w:r>
        <w:t>The coding itself was based on a deductive-inductive logic (Mayring, 2014). Qualitative content analysis is considered a systematic, rule-governed method in which the application of deductive categories and the development of inductive categories are not mutually exclusive (Mayring, 2014). Based on this, the four categories of the thesis framework — regulatory/institutional, cultural/organisational, cost/operational and asset/capability — were deductively derived from the theoretical framework and the research questions and were used as an a priori coding frame. The included studies were then inductively clustered into more specific category themes within each of these general categories, and the boundaries of the categories were refined when the a priori frame did not adequately cover the coded material. The outcome was a set of barrier themes that were embedded in the four deductive categories. Table 1 documents this coding: each barrier theme, the category it belongs to, and the studies whose evidence was coded to it, separated by evidence type.</w:t>
      </w:r>
    </w:p>
    <w:p>
      <w:pPr>
        <w:pStyle w:val="TableCaption"/>
      </w:pPr>
      <w:r>
        <w:rPr>
          <w:b/>
        </w:rPr>
        <w:t>Table 1.</w:t>
      </w:r>
      <w:r>
        <w:t xml:space="preserve"> </w:t>
      </w:r>
      <w:r>
        <w:rPr>
          <w:i/>
        </w:rPr>
        <w:t>Coding of the barrier themes: each theme, its framework category, and the contributing studies by evidence type.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Category</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r>
      <w:tr>
        <w:tc>
          <w:tcPr>
            <w:tcW w:type="dxa" w:w="1872"/>
          </w:tcPr>
          <w:p>
            <w:pPr>
              <w:spacing w:line="240" w:lineRule="auto"/>
            </w:pPr>
            <w:r>
              <w:rPr>
                <w:sz w:val="20"/>
              </w:rPr>
              <w:t>Host-country exit regulation</w:t>
            </w:r>
          </w:p>
        </w:tc>
        <w:tc>
          <w:tcPr>
            <w:tcW w:type="dxa" w:w="1872"/>
          </w:tcPr>
          <w:p>
            <w:pPr>
              <w:spacing w:line="240" w:lineRule="auto"/>
            </w:pPr>
            <w:r>
              <w:rPr>
                <w:sz w:val="20"/>
              </w:rPr>
              <w:t>Regulatory/Institutional</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Regulatory/Institutional</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Regulatory/Institutional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Cultural/Organisational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Cultural/Organisational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Cultural/Organisational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Cost/Operational</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Cost/Operational</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High-cost home environment</w:t>
            </w:r>
          </w:p>
        </w:tc>
        <w:tc>
          <w:tcPr>
            <w:tcW w:type="dxa" w:w="1872"/>
          </w:tcPr>
          <w:p>
            <w:pPr>
              <w:spacing w:line="240" w:lineRule="auto"/>
            </w:pPr>
            <w:r>
              <w:rPr>
                <w:sz w:val="20"/>
              </w:rPr>
              <w:t>Cost/Operational</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Cost/Operational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Cost/Operational</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Asset/Capability</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Asset/Capability</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r>
      <w:tr>
        <w:tc>
          <w:tcPr>
            <w:tcW w:type="dxa" w:w="1872"/>
          </w:tcPr>
          <w:p>
            <w:pPr>
              <w:spacing w:line="240" w:lineRule="auto"/>
            </w:pPr>
            <w:r>
              <w:rPr>
                <w:sz w:val="20"/>
              </w:rPr>
              <w:t>Regional ecosystem readiness</w:t>
            </w:r>
          </w:p>
        </w:tc>
        <w:tc>
          <w:tcPr>
            <w:tcW w:type="dxa" w:w="1872"/>
          </w:tcPr>
          <w:p>
            <w:pPr>
              <w:spacing w:line="240" w:lineRule="auto"/>
            </w:pPr>
            <w:r>
              <w:rPr>
                <w:sz w:val="20"/>
              </w:rPr>
              <w:t>Asset/Capability</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r>
    </w:tbl>
    <w:p>
      <w:r>
        <w:t>The full source-by-source coding records, including the per-source evidence-type notes, are provided in the Appendix.</w:t>
      </w:r>
    </w:p>
    <w:p>
      <w:r>
        <w:t>The integrity of the synthesis was safeguarded by two coding rules. First, and consistent with the decision rule of the corpus, the three types of evidence (direct findings from the study's data, findings reported by the literature survey, and barriers argued on conceptual grounds) were coded as separate evidence types and reported separately without being combined into a single frequency count, since a survey finding is not the same, nor is a review finding the same, nor is a conceptual argument the same. Second, a motive for considering reshoring (geopolitical unrest, rising Asian wages, disruption of supply chain etc.) was not coded as an implementation barrier unless a study made it clear that it interfered with the process of implementing the reshoring.</w:t>
      </w:r>
    </w:p>
    <w:p>
      <w:r>
        <w:t>This design has a number of methodological drawbacks. An SLR is a secondary method, which, however, is limited in coverage, quality, and completeness of the published literature and has the possibility for publication bias, as it synthesizes existing findings instead of observing reshoring. The resulting bias of relying on a single discovery platform, limiting to English-language sources with accessible full texts, and the retrospective nature of the original exploratory search is compensated by the documented nature of the update search, but does not eliminate it. This is also highlighted by the corpus's own caution; as there is a difference in weight between the various types of evidence — direct, review and conceptual — it is impossible to draw conclusions about a barrier claim's strength from the frequency of its occurrence. Most important, true Asia-specific direct implementation evidence is based on very few cases (mainly two single cases of returns from China), with findings reported as illustrative rather than generalisable, as clearly stated in the results and in the limitations discussion.</w:t>
      </w:r>
    </w:p>
    <w:p>
      <w:r>
        <w:t>The findings of this synthesis are reported in the next chapter: the barriers found in the literature, clustered into the four categories of the firm-level framework.</w:t>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from the corpus,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with a third supporting empirical study (Robinson &amp; Hsieh, 2016) providing only contextual evidence. The evidence from literature is derived from six sources (Pedroletti &amp; Ciabuschi, 2023; Wiesmann et al., 2017; Espíndola et al., 2023; Di Stefano &amp; Fratocchi, 2019; Ocicka, 2016; Bilbao-Ubillos et al., 2024), while conceptual argument from additional two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single-cases; the first concerns a case from China to UK (Pegoraro et al., 2022), and the second concerns a partial reshoring from China to Italy (Pedroletti, 2025). Two of the four case firms moved production out of China in the multi-case study, Di Mauro et al. (2018), although the findings are not always attributed to the individual cases. The four fashion cases of Boffelli et al. (2021) are by contrast Romanian, Moroccan, Croatian and Hungarian host-areas and thus the results of this implementation enter the synthesis as general, rather than Asia-specific evidence. The results of Li et al. (2025) are also presented as general Nordic/Swedish evidence, except that it specifically mentions China among the host locations that are impacted by strict layoff regulations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(Wiesmann et al., 2017), and, conceptually, a managerial-capability gap has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corpus.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and an automation-scale threshold has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and the erosion of domestic supplier networks is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while switching and reconfiguration costs, including duplicate operations during the transition, are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corpus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and a domestic skilled-labour shortage — loss of tacit knowledge, lack of core manufacturing competencies, and high training time and cost — was found among Swedish firms in a related study (Mirzaei et al., 2021). A lack of specialised manpower and loss of domestic competences are also identified as constraints in implementing the return (Di Mauro et al., 2018). A shortage of skilled labour (Wiesmann et al., 2017), a technical-skills shortage and a generational manufacturing-skills gap (Ocicka, 2016), and a digital technical-skills shortage (Bilbao-Ubillos et al., 2024) are reported at the review level, while a domestic skilled-workforce shortage (D'Ambrosio &amp; Lavoratori, 2025) and a domestic labour-availability gap (Gupta et al., 2023) are argued conceptually.</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and a domestic production-capacity gap — insufficient facilities, equipment limits, and investment resources — was reported in a related study of Swedish firms (Mirzaei et al., 2021). The review literature documents a domestic capacity shortage and an infrastructure lock-out after a long period of offshoring (Wiesmann et al., 2017), and the theme is conceptually mentioned in the new-fixed-costs argument (D'Ambrosio &amp; Lavoratori, 2025) and in a conceptually noted domestic infrastructure gap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value chains are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while reshoring companies in labour-intensive sectors experienced a shortage of skilled workforce (Di Mauro et al., 2018). The same cluster is found in review-level syntheses in the broader literature (Wiesmann et al., 2017; Ocicka, 2016). The results of Li et al. (2025), however, are presented at the level of their Swedish sample and not disaggregated by host country;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and in the conceptual literature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automotive supplier that returned from China to the United Kingdom (Pegoraro et al., 2022) and one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and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(Li et al., 2025), the closure fees and layoff constraints reported in the review literature (Di Stefano &amp; Fratocchi, 2019), and the contractual and intellectual-property constraints that prevent a firm from simply relocating production it does not fully control (Li et al., 2025) are all the price of dismantling governance structures built around specific assets.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(Boffelli et al., 2021) and faced cost surprises when relocating (Li et al., 2025) not because they were negligent, but because they could not have all the information required to make a full ex ante calculation of an implementation process.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and the general evidence on skills shortages, generational knowledge loss, and supplier-network gaps (Di Mauro et al., 2018; Mirzaei et al., 2021; Ocicka, 2016) shows the same logic at sample level.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which from a TCE perspective involves switching costs and a hold-up risk (Williamson, 1985), and from an RBV perspective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and the education-system mismatch is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the data on cost miscalculation (Li et al., 2025) and underestimated operational adjustments (Boffelli et al., 2021) indicate that companies plan the visible part of the transaction — equipment, freight, facilities — while underestimating transition costs, ramp-up losses, and coordination burdens; the total-cost-of-acquisition logic of the reshoring literature (Ocicka, 2016) is applicable to leaving Asia as much as it is to going there.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and the literature review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Since the domestic supplier base might have been diluted over the offshoring years (Ocicka, 2016; Mirzaei et al., 2021), supplier mapping and early involvement in the ecosystem of the home region, including training institutions, equipment suppliers, industrial-support organisations, are suggested, as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(Boffelli et al., 2021), along with the evidence of internal silos and poor employee engagement in domestic manufacturing (Mirzaei et al., 2021), suggests the importance of cross-functional coordination — the introduction of production, sourcing, product development, and finance into the reshoring programme early — and the need to treat the return as an organisational change project, rather than a logistics exercise.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corpus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(Boffelli et al., 2021), the new fixed and coordination costs that a return brings, and, less obviously but still, by host-country exit constraints like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coding summarised in Table 1 (Chapter 3, Section 3.3); Asia-specificity qualifications are summarised in Table 2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