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pPr>
        <w:pStyle w:val="Heading2"/>
      </w:pPr>
      <w:r>
        <w:t>Acknowledgements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pPr>
        <w:pStyle w:val="Heading1"/>
      </w:pPr>
      <w:r>
        <w:t>2 Literature Review</w:t>
      </w:r>
    </w:p>
    <w:p>
      <w:r>
        <w:t>Reshoring has developed into an active research field over the past decade, but its growth has come with two complications that matter directly for this thesis. The first is terminological: the vocabulary of relocation — reshoring, backshoring, nearshoring, re-offshoring — has been applied inconsistently across studies, so a precise definition is a precondition for any meaningful synthesis (Tsai &amp; Urmetzer, 2024). The second is theoretical: the field has no single unifying theory, and individual studies interpret the phenomenon through different lenses (Wiesmann et al., 2017). A review that ignores either complication risks combining findings that are not actually about the same phenomenon, or reading them through an unstated theoretical frame. The following review therefore begins by clarifying what reshoring means and what it does not, then presents the two theoretical perspectives used to interpret the results, separates the drivers of reshoring from the barriers to its implementation, and closes with the research gap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provides insights on the arrival side of implementation. In this theory, competitive advantage rests on resources that are valuable, rare, imperfectly imitable and non-substitutable (Barney, 1991). As with TCE, the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Expert-based decision analysis has also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 conditions that any repatriating firm will inherit (Mirzaei et al., 2021).</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Asia is the primary offshore manufacturing destination (Gao et al., 2022). Even so,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that evidence together in a systematic review; how this was done is described next.</w:t>
      </w:r>
    </w:p>
    <w:p>
      <w:pPr>
        <w:pStyle w:val="Heading1"/>
      </w:pPr>
      <w:r>
        <w:t>3 Research Methodology</w:t>
      </w:r>
    </w:p>
    <w:p>
      <w:r>
        <w:t>Because the thesis asks a question about existing evidence — what barriers manufacturing firms face when implementing reshoring from Asian markets — rather than a question requiring new company data, the value of the answer depends on how the existing studies were found, selected, and analysed. The credibility of a literature-based synthesis rests on making that process transparent enough for the reader to judge it (Snyder, 2019). What follows therefore documents the three steps on which the synthesis is built: the choice of a systematic literature review as the research design, the literature search and the criteria used to select the analytical sample (summarised in Figure 1), and the coding procedure through which the findings of the included studies were organised into barrier themes within the four categories of the firm-level framework (illustrated in Table 1). The limitations of this approach are discussed later, alongside the findings to which they relate.</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Three broad approaches to literature reviews can be distinguished: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literature search was conducted iteratively, beginning in late June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To be included in the analytical sample, a study had to be in English, be accessible in full text,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that did not explicitly identify an Asian host location were included only where their findings addressed general manufacturing reshoring barriers relevant to the implementation process; their lack of explicit Asia-specificity was recorded and taken into account when interpreting the results. Studies concerned exclusively with China+1 strategies, re-offshoring, nearshoring without a return home, or foreign-to-foreign relocation were excluded from barrier coding, although some are used as contextual sources in the Introduction and Discussion. The selection process leading to the final analytical sample is presented in an adapted PRISMA 2020 flow diagram in Figure 1.</w:t>
      </w:r>
    </w:p>
    <w:p>
      <w:pPr>
        <w:spacing w:line="240" w:lineRule="auto"/>
        <w:jc w:val="center"/>
      </w:pPr>
      <w:r>
        <w:drawing>
          <wp:inline xmlns:a="http://schemas.openxmlformats.org/drawingml/2006/main" xmlns:pic="http://schemas.openxmlformats.org/drawingml/2006/picture">
            <wp:extent cx="5669280" cy="6119043"/>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119043"/>
                    </a:xfrm>
                    <a:prstGeom prst="rect"/>
                  </pic:spPr>
                </pic:pic>
              </a:graphicData>
            </a:graphic>
          </wp:inline>
        </w:drawing>
      </w:r>
    </w:p>
    <w:p>
      <w:pPr>
        <w:pStyle w:val="FigureCaption"/>
      </w:pPr>
      <w:r>
        <w:rPr>
          <w:b/>
        </w:rPr>
        <w:t>Figure 1.</w:t>
      </w:r>
      <w:r>
        <w:t xml:space="preserve"> </w:t>
      </w:r>
      <w:r>
        <w:rPr>
          <w:i/>
        </w:rPr>
        <w:t>Adapted PRISMA 2020 flow diagram of the study-selection process.</w:t>
      </w:r>
    </w:p>
    <w:p>
      <w:r>
        <w:t>The study-selection process resulted in an analytical sample of 21 peer-reviewed studies that met the eligibility criteria and were coded for evidence of reshoring implementation barriers. Additional sources were used separately to provide contextual background, methodological guidance, and the theoretical foundations of the thesis. These supporting sources were not part of the analytical sample and were not coded for barrier evidence.</w:t>
      </w:r>
    </w:p>
    <w:p>
      <w:r>
        <w:t>Each included study was classified according to the type of evidence it provided — direct empirical, review-based, or conceptual — and according to whether it explicitly linked an Asian host location to a return home. These distinctions are used throughout the reporting and interpretation of the results to treat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and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Table 2; the detailed source-by-source coding matrix is provided in the Appendix.</w:t>
      </w:r>
    </w:p>
    <w:p>
      <w:r>
        <w:t>Two coding rules were applied consistently. Direct empirical findings, review-reported findings, and conceptual arguments were coded and reported as separate evidence types rather than combined into a single count because they provide different forms of evidential support. A motive for considering reshoring — such as geopolitical tension or rising wages — was coded as an implementation barrier only where a study showed that it also hindered the implementation process itself.</w:t>
      </w:r>
    </w:p>
    <w:p>
      <w:r>
        <w:t>The eighteen barrier themes that resulted from this process, organised within the four categories of the firm-level framework, are presented next.</w:t>
      </w:r>
    </w:p>
    <w:p>
      <w:pPr>
        <w:pStyle w:val="Heading1"/>
      </w:pPr>
      <w:r>
        <w:t>4 Results</w:t>
      </w:r>
    </w:p>
    <w:p>
      <w:r>
        <w:t>The reviewed literature does not speak about reshoring barriers with one voice. Some studies observe individual returns directly (Pegoraro et al., 2022; Pedroletti, 2025). Others draw on multiple firms or cases (Boffelli et al., 2021; Li et al., 2025; Mirzaei et al., 2021). Others again aggregate previous findings in reviews or argue conceptually (Wiesmann et al., 2017; D'Ambrosio &amp; Lavoratori, 2025). Two reading rules therefore apply to everything reported below. First, the three types of evidence — direct empirical findings, review-reported findings, and conceptual arguments — are kept apart, because a case observation, a review finding, and a conceptual argument do not support a claim in the same way. Second, findings are attributed to an Asian host country only where a study explicitly makes that link; evidence that is general in scope is reported as general. The overview of the evidence base and of all eighteen barrier themes (Table 2) comes first, followed by the barriers in each of the four framework categories, ending with the asset/capability barriers, which have the broadest support in the reviewed literature.</w:t>
      </w:r>
    </w:p>
    <w:p>
      <w:pPr>
        <w:pStyle w:val="Heading2"/>
      </w:pPr>
      <w:r>
        <w:t>4.1 Overview of the Analytical Sample and Barrier Landscape</w:t>
      </w:r>
    </w:p>
    <w:p>
      <w:r>
        <w:t>The barrier synthesis is based on the formal analytical sample of 21 sources described in the methodology. Fourteen of these sources provide direct barrier evidence and are coded in Table 1 and Table 2. A fifteenth source is represented only as contextual evidence on drivers and strategic renewal, not as a barrier-theme entry (Robinson &amp; Hsieh, 2016). A sixteenth is used solely as a basis for terminology and frameworks, not for barrier evidence (Tsai &amp; Urmetzer, 2024).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Two further studies provide auxiliary empirical evidence (Di Mauro et al., 2018; Mirzaei et al., 2021). A third supporting empirical study provides only contextual evidence (Robinson &amp; Hsieh, 2016). The evidence from literature is derived from six sources (Pedroletti &amp; Ciabuschi, 2023; Wiesmann et al., 2017; Espíndola et al., 2023; Di Stefano &amp; Fratocchi, 2019; Ocicka, 2016; Bilbao-Ubillos et al., 2024). Conceptual argument comes from two further sources (D'Ambrosio &amp; Lavoratori, 2025; Gupta et al., 2023). The types are listed separately throughout, to avoid consolidating them into a single frequency, since the evidential weight of a case observation is different from that of a review finding, or a conceptual argument. Both of the two main empirical studies have a single-case design, and their results are presented as case studies, not generalisations (Pegoraro et al., 2022; Pedroletti, 2025).</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Partial</w:t>
            </w:r>
          </w:p>
        </w:tc>
      </w:tr>
      <w:tr>
        <w:tc>
          <w:tcPr>
            <w:tcW w:type="dxa" w:w="1560"/>
          </w:tcPr>
          <w:p>
            <w:pPr>
              <w:spacing w:line="240" w:lineRule="auto"/>
            </w:pPr>
            <w:r>
              <w:rPr>
                <w:sz w:val="20"/>
              </w:rPr>
              <w:t>Social-responsibility and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and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Intra-organisational silos and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Partial</w:t>
            </w:r>
          </w:p>
        </w:tc>
      </w:tr>
      <w:tr>
        <w:tc>
          <w:tcPr>
            <w:tcW w:type="dxa" w:w="1560"/>
          </w:tcPr>
          <w:p>
            <w:pPr>
              <w:spacing w:line="240" w:lineRule="auto"/>
            </w:pPr>
            <w:r>
              <w:rPr>
                <w:sz w:val="20"/>
              </w:rPr>
              <w:t>New fixed costs and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Domestic skilled-labour and competence gap</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and machinery gap</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and knowledge lock-in</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It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below.</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(Pedroletti, 2025).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the inability to fully replace the Chinese network was the reason for partial reshoring, as the firm lacked the production knowledge, experience with the components, specialised sourcing skills, and suitable domestic suppliers (Pedroletti, 2025).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above.</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What these patterns mean is interpreted next.</w:t>
      </w:r>
    </w:p>
    <w:p>
      <w:pPr>
        <w:pStyle w:val="Heading1"/>
      </w:pPr>
      <w:r>
        <w:t>5 Discussion</w:t>
      </w:r>
    </w:p>
    <w:p>
      <w:r>
        <w:t>Reporting what the literature contains is only the first half of a synthesis; the second half is explaining what the findings mean for firms returning production from Asian host countries, how the barriers reinforce one another, and what follows from them in theoretical and managerial terms. The interpretation below moves from the overall pattern of the results and the interactions between the barrier categories, through a reading of the findings in the light of Transaction Cost Economics and the Resource-Based View, to the managerial implications that answer the second sub-question, and finally to the limitations of the study and the research directions that follow from them. Throughout, interpretations made by this thesis are distinguished from findings reported by the original studies, and direct implementation evidence is given more analytical weight than review-level or conceptual evidence. In its truly Asia-specific core, that direct evidence rests on two single cases (Pegoraro et al., 2022; Pedroletti, 2025).</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a single acquisition decision was followed by a twelve-month capability-building process, providing a more tangible example than any overall finding of the need for a separate analysis of the implementation stage (Pegoraro et al., 2022).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This suggests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acts as a complementary resource endowment that individual firms can access but not produce on their own, which also sheds light on the regional ecosystem findings (Pegoraro et al., 2022).</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If the evidence on employee and stakeholder reactions is taken seriously, the communication and treatment of the offshore workforce should also be planned as a part of the implementation, not as an afterthought (Di Stefano &amp; Fratocchi, 2019).</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 automation-dependent reshoring strategy must therefore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alone, and, as the literature search was conducted iteratively, intermediate search and exclusion counts were not systematically recorded. The review was also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most direct evidence is provided by established manufacturers, while the conceptual literature indicates that the reshoring of smaller firms is different in nature — done defensively and with fewer managerial resources (D'Ambrosio &amp; Lavoratori, 2025). Lastly, the four-category framework derived here is a synthesis product and would be improved by quantitative testing on a larger sample of implementation cases, and the theoretical reading presented above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The conclusion brings the analysis to a close, directly answers the research question and the two sub-questions, states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along with the new fixed and coordination costs that a return brings (Boffelli et al., 2021). Less obviously but no less durably, they are exacerbated further by host-country exit constraints such as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the introduction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Table 1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