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pPr>
        <w:pStyle w:val="Heading1"/>
      </w:pPr>
      <w:r>
        <w:t>2 Literature Review</w:t>
      </w:r>
    </w:p>
    <w:p>
      <w:r>
        <w:t>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 The following review therefore begins by clarifying what reshoring means and what it does not, then presents the two theoretical perspectives used to interpret the results, separates the drivers of reshoring from the barriers to its implementation, and closes with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provides insights on the arrival side of implementation. In this theory, competitive advantage rests on resources that are valuable, rare, imperfectly imitable and non-substitutable (Barney, 1991). As with TCE, the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Expert-based decision analysis has also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 conditions that any repatriating firm will inherit (Mirzaei et al., 2021).</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Asia is the primary offshore manufacturing destination (Gao et al., 2022). Even so,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that evidence together in a systematic review; how this was done is described next.</w:t>
      </w:r>
    </w:p>
    <w:p>
      <w:pPr>
        <w:pStyle w:val="Heading1"/>
      </w:pPr>
      <w:r>
        <w:t>3 Research Methodology</w:t>
      </w:r>
    </w:p>
    <w:p>
      <w:r>
        <w:t>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 What follows therefore documents the three steps on which the synthesis is built: the choice of a systematic literature review as the research design, the literature search and the criteria used to select the analytical sample (summarised in Figure 1), and the coding procedure through which the findings of the included studies were organised into barrier themes within the four categories of the firm-level framework (illustrated in Table 1). The limitations of this approach are discussed later, alongside the findings to which they relate.</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To be included in the analytical sample, a study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presented in an adapted PRISMA 2020 flow diagram in Figure 1.</w:t>
      </w:r>
    </w:p>
    <w:p>
      <w:pPr>
        <w:spacing w:line="240" w:lineRule="auto"/>
        <w:jc w:val="center"/>
      </w:pPr>
      <w:r>
        <w:drawing>
          <wp:inline xmlns:a="http://schemas.openxmlformats.org/drawingml/2006/main" xmlns:pic="http://schemas.openxmlformats.org/drawingml/2006/picture">
            <wp:extent cx="5669280" cy="6119043"/>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119043"/>
                    </a:xfrm>
                    <a:prstGeom prst="rect"/>
                  </pic:spPr>
                </pic:pic>
              </a:graphicData>
            </a:graphic>
          </wp:inline>
        </w:drawing>
      </w:r>
    </w:p>
    <w:p>
      <w:pPr>
        <w:pStyle w:val="FigureCaption"/>
      </w:pPr>
      <w:r>
        <w:rPr>
          <w:b/>
        </w:rPr>
        <w:t>Figure 1.</w:t>
      </w:r>
      <w:r>
        <w:t xml:space="preserve"> </w:t>
      </w:r>
      <w:r>
        <w:rPr>
          <w:i/>
        </w:rPr>
        <w:t>Adapted PRISMA 2020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reporting and interpretation of the results to treat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eighteen barrier themes that resulted from this process, organised within the four categories of the firm-level framework, are presented next.</w:t>
      </w:r>
    </w:p>
    <w:p>
      <w:pPr>
        <w:pStyle w:val="Heading1"/>
      </w:pPr>
      <w:r>
        <w:t>4 Results</w:t>
      </w:r>
    </w:p>
    <w:p>
      <w:r>
        <w:t>The reviewed literature does not speak about reshoring barriers with one voice. Some studies observe individual returns directly (Pegoraro et al., 2022; Pedroletti, 2025). Others draw on multiple firms or cases (Boffelli et al., 2021; Li et al., 2025; Mirzaei et al., 2021). Others again aggregate previous findings in reviews or argue conceptually (Wiesmann et al., 2017; D'Ambrosio &amp; Lavoratori, 2025). Two reading rules therefore apply to everything reported below.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 The overview of the evidence base and of all eighteen barrier themes (Table 2) comes first, followed by the barriers in each of the four framework categories, ending with the asset/capability barriers, which have the broadest support in the reviewed literature.</w:t>
      </w:r>
    </w:p>
    <w:p>
      <w:pPr>
        <w:pStyle w:val="Heading2"/>
      </w:pPr>
      <w:r>
        <w:t>4.1 Overview of the Analytical Sample and Barrier Landscape</w:t>
      </w:r>
    </w:p>
    <w:p>
      <w:r>
        <w:t>The barrier synthesis is based on the formal analytical sample of 21 sources described in the methodology. Fourteen of these sources provide direct barrier evidence and are coded in Table 1 and Table 2. A fifteenth source is represented only as contextual evidence on drivers and strategic renewal, not as a barrier-theme entry (Robinson &amp; Hsieh, 2016). A sixteenth is used solely as a basis for terminology and frameworks, not for barrier evidence (Tsai &amp; Urmetzer, 2024).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Two further studies provide auxiliary empirical evidence (Di Mauro et al., 2018; Mirzaei et al., 2021). A third supporting empirical study provides only contextual evidence (Robinson &amp; Hsieh, 2016). The evidence from literature is derived from six sources (Pedroletti &amp; Ciabuschi, 2023; Wiesmann et al., 2017; Espíndola et al., 2023; Di Stefano &amp; Fratocchi, 2019; Ocicka, 2016; Bilbao-Ubillos et al., 2024). Conceptual argument comes from two further sources (D'Ambrosio &amp; Lavoratori, 2025; Gupta et al., 2023). The types are listed separately throughout, to avoid consolidating them into a single frequency, since the evidential weight of a case observation is different from that of a review finding, or a conceptual argument. Both of the two main empirical studies have a single-case design, and their results are presented as case studies, not generalisations (Pegoraro et al., 2022; Pedroletti, 2025).</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It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below.</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(Pedroletti, 2025).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the inability to fully replace the Chinese network was the reason for partial reshoring, as the firm lacked the production knowledge, experience with the components, specialised sourcing skills, and suitable domestic suppliers (Pedroletti, 2025).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above.</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What these patterns mean is interpreted next.</w:t>
      </w:r>
    </w:p>
    <w:p>
      <w:pPr>
        <w:pStyle w:val="Heading1"/>
      </w:pPr>
      <w:r>
        <w:t>5 Discussion</w:t>
      </w:r>
    </w:p>
    <w:p>
      <w:r>
        <w:t>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 The interpretation below moves from the overall pattern of the results and the interactions between the barrier categories, through a reading of the findings in the light of Transaction Cost Economics and the Resource-Based View, to the managerial implications that answer the second sub-question, and finally to the limitations of the study and the research directions that follow from them. Throughout, interpretations made by this thesis are distinguished from findings reported by the original studies, and direct implementation evidence is given more analytical weight than review-level or conceptual evidence. In its truly Asia-specific core, that direct evidence rests on two single cases (Pegoraro et al., 2022; Pedroletti, 2025).</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a single acquisition decision was followed by a twelve-month capability-building process, providing a more tangible example than any overall finding of the need for a separate analysis of the implementation stage (Pegoraro et al., 2022).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This suggests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acts as a complementary resource endowment that individual firms can access but not produce on their own, which also sheds light on the regional ecosystem findings (Pegoraro et al., 2022).</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If the evidence on employee and stakeholder reactions is taken seriously, the communication and treatment of the offshore workforce should also be planned as a part of the implementation, not as an afterthought (Di Stefano &amp; Fratocchi, 2019).</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 automation-dependent reshoring strategy must therefore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alone, and, as the literature search was conducted iteratively, intermediate search and exclusion counts were not systematically recorded. The review was also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most direct evidence is provided by established manufacturers, while the conceptual literature indicates that the reshoring of smaller firms is different in nature — done defensively and with fewer managerial resources (D'Ambrosio &amp; Lavoratori, 2025). Lastly, the four-category framework derived here is a synthesis product and would be improved by quantitative testing on a larger sample of implementation cases, and the theoretical reading presented above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set out to answer a question that the reshoring literature had left largely open: what stands in the way of manufacturing companies when they attempt to bring production back home from Asia after the decision to return has been made.</w:t>
      </w:r>
    </w:p>
    <w:p>
      <w:r>
        <w:t>The evidence reviewed identifies the rebuilding of domestic capability as the central obstacle. The skills, machinery, tooling, and the ecosystem of suppliers that were lost over the years of offshoring cannot be rebuilt through acquisition alone (Pegoraro et al., 2022). Closely related is the reliance on specialised host-country suppliers, which in the case evidence limited both the manner in which a return was conducted and the extent of the return that was possible (Pedroletti, 2025). These capability-side challenges are worsened by the underestimation of operational changes and by organisational readiness gaps (Boffelli et al., 2021). The return also brings new fixed and coordination costs of its own (Li et al., 2025; Pedroletti, 2025). A less visible but lasting obstacle lies in host-country exit constraints such as layoff regulations and closure obligations (Li et al., 2025; Di Stefano &amp; Fratocchi, 2019). The barriers are also interconnected. A capability gap may lead to operational and relational challenges, and poor organisational preparedness magnifies any other barriers that a firm faces. Implementation therefore emerges as a separate and demanding phase that cannot be taken for granted once the location decision is made.</w:t>
      </w:r>
    </w:p>
    <w:p>
      <w:r>
        <w:t>The barriers identified in the literature could be grouped into a systematic firm-level framework of four categories, regulatory/institutional, cultural/organisational, cost/operational, and asset/capability, comprising eighteen barrier themes. This framework, detailed in full in Table 2, brings together evidence previously reported in the literature in a single structure that is organised by the type of obstacle, independent of industry, country or individual study. It also shows where the evidence is strong and where it is thin. The asset/capability barriers have the most widespread and consistent support across evidence types, while the regulatory/institutional category has the least. This reflects the composition of the evidence base and should not be read as a final conclusion about the real-world significance of regulatory barriers.</w:t>
      </w:r>
    </w:p>
    <w:p>
      <w:r>
        <w:t>For management practice, the findings suggest that the identified barriers can be mitigated by tackling them at the point in the return process where they occur. Before commitment, a true total-cost analysis of the return and a capability audit of what the firm actually controls, as opposed to what is held by the host-country supplier, help prevent the underestimation that the evidence repeatedly documents. At the exit stage, host-country regulatory and contractual due diligence should be budgeted as a separate line item instead of being treated as incidental to the move. During transfer and rebuilding, capability should be planned as a system of machinery, tooling, software and workforce training, not as a single purchase. Wherever the supplier and training ecosystem has thinned, early engagement with the home region's ecosystem is indicated. If the reliance on Asian suppliers cannot be unwound rapidly, a phased or partial approach may reduce risk, but managers must then plan for cross-country coordination as a permanent operating state. A broader implication runs through all of these measures. Implementation capacity, understood as cross-functional coordination and organisational readiness, is a resource that firms should develop intentionally, as the evidence suggests that it is what makes the other barriers more or less harmful.</w:t>
      </w:r>
    </w:p>
    <w:p>
      <w:r>
        <w:t>The main contribution of this thesis is a comprehensive, firm-level framework of the barriers to reshoring implementation from Asian markets, which had previously been addressed in the literature in a piecemeal fashion, interpreted through the complementary lenses of Transaction Cost Economics and the Resource-Based View. Together, these two viewpoints help to explain why a firm that has already decided to reshore may still struggle to do so. The decision concerns the location, but carrying it out involves dismantling the transaction-specific governance arrangements on the host side and building up the scarce, slow-to-acquire resources on the home side, and neither of these is reflected in the location comparison. The thesis addresses the research gap identified in the introduction by shifting attention from the reasons behind reshoring decisions to the barriers that arise during their implementation, and by structuring the analysis around a firm-level framework instead of a list of disconnected findings.</w:t>
      </w:r>
    </w:p>
    <w:p>
      <w:r>
        <w:t>This contribution should be read within the bounds that the thesis has set out throughout. The formal analytical sample consists of twenty-one studies, and the direct implementation evidence that is genuinely Asia-specific comes from two single case studies, both reporting returns from China to Western Europe (Pegoraro et al., 2022; Pedroletti, 2025). The framework should therefore be viewed as a map of what the current literature reveals rather than a ranking of universal barriers, and it cannot be generalised to Asian markets as a whole. Within these limits, the results show that the difficulty of reshoring lies less in the decision itself than in the reconstruction of the productive capability that offshoring eroded over the years. Reshoring emerges as a project of its own, with its own rationale, its own costs, and its own potential for partial or incomplete success.</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Table 1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