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of the study: the rationale for conducting a systematic literature review, how the literature was searched and screened, and how the included studies were analysed and coded into the firm-level barrier framework. Methodological limitations are discussed together with the findings they qualify in Section 5.4.</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followed the PRISMA 2020 reporting guidelines (Page, McKenzie, et al., 2021; Page, Moher, et al., 2021), used here as a reporting framework rather than a tool for evidence synthesis. Google Scholar was the only literature-discovery platform used. The search combined topic-related terms — reshoring, backshoring, manufacturing reshoring, implementation barriers, Asia, capabilities, suppliers, and production transfer — with backward and forward citation searching and the "related articles" feature.</w:t>
      </w:r>
    </w:p>
    <w:p>
      <w:r>
        <w:t>Records were manually screened for eligibility. A source had to be in English, have its full text available online, be peer-reviewed, relate to manufacturing reshoring, and meet the thesis definition of reshoring: the return of previously offshored manufacturing activities from an Asian host country to the firm's home country. Studies concerned with China+1, re-offshoring, nearshoring without a return home, or foreign-to-foreign relocation were treated as not meeting this definition and were excluded from barrier coding, although a few are used as contextual background in the Introduction and Discussion. The eligibility process is summarised in Figure 1.</w:t>
      </w:r>
    </w:p>
    <w:p>
      <w:pPr>
        <w:spacing w:line="240" w:lineRule="auto"/>
        <w:jc w:val="center"/>
      </w:pPr>
      <w:r>
        <w:drawing>
          <wp:inline xmlns:a="http://schemas.openxmlformats.org/drawingml/2006/main" xmlns:pic="http://schemas.openxmlformats.org/drawingml/2006/picture">
            <wp:extent cx="5669280" cy="5235114"/>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5235114"/>
                    </a:xfrm>
                    <a:prstGeom prst="rect"/>
                  </pic:spPr>
                </pic:pic>
              </a:graphicData>
            </a:graphic>
          </wp:inline>
        </w:drawing>
      </w:r>
    </w:p>
    <w:p>
      <w:pPr>
        <w:pStyle w:val="FigureCaption"/>
      </w:pPr>
      <w:r>
        <w:rPr>
          <w:b/>
        </w:rPr>
        <w:t>Figure 1.</w:t>
      </w:r>
      <w:r>
        <w:t xml:space="preserve"> </w:t>
      </w:r>
      <w:r>
        <w:rPr>
          <w:i/>
        </w:rPr>
        <w:t>Flow diagram of the study-selection process, reported following PRISMA 2020 principles.</w:t>
      </w:r>
    </w:p>
    <w:p>
      <w:r>
        <w:t>The full text of 34 sources was assessed. Of these, 21 peer-reviewed studies met all eligibility criteria and form the analytical sample used for barrier coding. The remaining sources were retained either as contextual background for the Introduction and Discussion or as methodological guidance for the review design (Snyder, 2019; Thomas &amp; Harden, 2008; Mayring, 2014), and were not coded for barrier evidence.</w:t>
      </w:r>
    </w:p>
    <w:p>
      <w:r>
        <w:t>Each included study was also noted for the type of evidence it provides — direct empirical, review-based, or conceptual — and for whether it explicitly links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the four framework categories — regulatory/institutional, cultural/organisational, cost/operational, and asset/capability — were deductively defined in advance from the theoretical framework and the research questions, and served as the coding frame. Within each category, the specific barrier themes were then developed inductively from the content of the included studies.</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&amp;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delayed the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records are provided in the Appendix.</w:t>
      </w:r>
    </w:p>
    <w:p>
      <w:r>
        <w:t>Two coding rules were applied consistently. Direct empirical findings, review-reported findings, and conceptual arguments were coded and reported as separate evidence types rather than combined into a single count, since they carry different evidential weight. A motive for considering reshoring — such as geopolitical tension or rising wages — was coded as an implementation barrier only where a study showed that it also hindered the implementation process itself.</w:t>
      </w:r>
    </w:p>
    <w:p>
      <w:r>
        <w:t>The findings of this synthesis are reported in the next chapter: the barriers found in the literature, clustered into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in the reviewed literature,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