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 The following review therefore begins by clarifying what reshoring means and what it does not, then presents the two theoretical perspectives used to interpret the results, separates the drivers of reshoring from the barriers to its implementation, and closes with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and expert-based decision analysis has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that evidence together in a systematic review; how this was done is described next.</w:t>
      </w:r>
    </w:p>
    <w:p>
      <w:r>
        <w:br w:type="page"/>
      </w:r>
    </w:p>
    <w:p>
      <w:pPr>
        <w:pStyle w:val="Heading1"/>
      </w:pPr>
      <w:r>
        <w:t>3 Research Methodology</w:t>
      </w:r>
    </w:p>
    <w:p>
      <w:r>
        <w:t>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 What follows therefore documents the three steps on which the synthesis is built: the choice of a systematic literature review as the research design, the literature search and the criteria used to select the analytical sample (summarised in Figure 1), and the coding procedure through which the findings of the included studies were organised into barrier themes within the four categories of the firm-level framework (illustrated in Table 1). The limitations of this approach are discussed later,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reporting and interpretation of the results to treat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eighteen barrier themes that resulted from this process, organised within the four categories of the firm-level framework, are presented next.</w:t>
      </w:r>
    </w:p>
    <w:p>
      <w:r>
        <w:br w:type="page"/>
      </w:r>
    </w:p>
    <w:p>
      <w:pPr>
        <w:pStyle w:val="Heading1"/>
      </w:pPr>
      <w:r>
        <w:t>4 Results</w:t>
      </w:r>
    </w:p>
    <w:p>
      <w:r>
        <w:t>The reviewed literature does not speak about reshoring barriers with one voice: some studies observe individual returns directly (Pegoraro et al., 2022; Pedroletti, 2025), others draw on multiple firms or cases (Boffelli et al., 2021; Li et al., 2025; Mirzaei et al., 2021), and others aggregate previous findings in reviews or argue conceptually (Wiesmann et al., 2017; D'Ambrosio &amp; Lavoratori, 2025). Two reading rules therefore apply to everything reported below.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 The overview of the evidence base and of all eighteen barrier themes (Table 2) comes first, followed by the barriers in each of the four framework categories, ending with the asset/capability barriers, which have the broadest support in the reviewed literature.</w:t>
      </w:r>
    </w:p>
    <w:p>
      <w:pPr>
        <w:pStyle w:val="Heading2"/>
      </w:pPr>
      <w:r>
        <w:t>4.1 Overview of the Analytical Sample and Barrier Landscape</w:t>
      </w:r>
    </w:p>
    <w:p>
      <w:r>
        <w:t>The barrier synthesis is based on the formal analytical sample of 21 sources described in the methodology.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below.</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above.</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What these patterns mean is interpreted next.</w:t>
      </w:r>
    </w:p>
    <w:p>
      <w:r>
        <w:br w:type="page"/>
      </w:r>
    </w:p>
    <w:p>
      <w:pPr>
        <w:pStyle w:val="Heading1"/>
      </w:pPr>
      <w:r>
        <w:t>5 Discussion</w:t>
      </w:r>
    </w:p>
    <w:p>
      <w:r>
        <w:t>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 The interpretation below moves from the overall pattern of the results and the interactions between the barrier categories, through a reading of the findings in the light of Transaction Cost Economics and the Resource-Based View, to the managerial implications that answer the second sub-question, and finally to the limitations of the study and the research directions that follow from them. Throughout, interpretations made by this thesis are distinguished from findings reported by the original studies, and direct implementation evidence — which in its truly Asia-specific core rests on two single cases (Pegoraro et al., 2022; Pedroletti, 2025) — is given more analytical weight than review-level or conceptual evidence.</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above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The conclusion brings the analysis to a close, directly answers the research question and the two sub-questions, states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the introduction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Table 1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