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of the study: the rationale for conducting a systematic literature review, how the literature was searched and screened, and how the included studies were analysed and coded into the firm-level barrier framework. Methodological limitations are discussed together with the findings they qualify in Section 5.4.</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There are three types of literature review —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search was conducted iteratively between late June and July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A source had to be in English, have its full text available online,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concerned exclusively with China+1 strategies, re-offshoring, nearshoring without a return home, or foreign-to-foreign relocation were excluded from barrier coding, although some are used as contextual sources in the Introduction and Discussion. The eligibility process is summarised in Figure 1.</w:t>
      </w:r>
    </w:p>
    <w:p>
      <w:pPr>
        <w:spacing w:line="240" w:lineRule="auto"/>
        <w:jc w:val="center"/>
      </w:pPr>
      <w:r>
        <w:drawing>
          <wp:inline xmlns:a="http://schemas.openxmlformats.org/drawingml/2006/main" xmlns:pic="http://schemas.openxmlformats.org/drawingml/2006/picture">
            <wp:extent cx="5669280" cy="5235114"/>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5235114"/>
                    </a:xfrm>
                    <a:prstGeom prst="rect"/>
                  </pic:spPr>
                </pic:pic>
              </a:graphicData>
            </a:graphic>
          </wp:inline>
        </w:drawing>
      </w:r>
    </w:p>
    <w:p>
      <w:pPr>
        <w:pStyle w:val="FigureCaption"/>
      </w:pPr>
      <w:r>
        <w:rPr>
          <w:b/>
        </w:rPr>
        <w:t>Figure 1.</w:t>
      </w:r>
      <w:r>
        <w:t xml:space="preserve"> </w:t>
      </w:r>
      <w:r>
        <w:rPr>
          <w:i/>
        </w:rPr>
        <w:t>Flow diagram of the study-selection process, reported following PRISMA 2020 principles.</w:t>
      </w:r>
    </w:p>
    <w:p>
      <w:r>
        <w:t>The review-related literature comprised 33 sources. Of these, 21 peer-reviewed studies met the eligibility criteria and formed the analytical sample used for barrier coding. The remaining sources were used either as contextual background in the Introduction and Discussion (7 sources) or as methodological guidance for the review design (5 sources: Snyder, 2019; Thomas &amp; Harden, 2008; Mayring, 2014, plus the two PRISMA sources above), and were not coded for barrier evidence. Two additional works, Williamson (1985) and Barney (1991), were used separately as the foundational theoretical literature for TCE and the RBV and were not part of the analytical sample.</w:t>
      </w:r>
    </w:p>
    <w:p>
      <w:r>
        <w:t>Each included study was classified according to the type of evidence it provided — direct empirical, review-based, or conceptual — and according to whether it explicitly linked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&amp;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records are provided in the Appendix.</w:t>
      </w:r>
    </w:p>
    <w:p>
      <w:r>
        <w:t>Two coding rules were applied consistently. Direct empirical findings, review-reported findings, and conceptual arguments were coded and reported as separate evidence types rather than combined into a single count, since they carry different evidential weight.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in the reviewed literature,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