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pPr>
        <w:pStyle w:val="Heading1"/>
      </w:pPr>
      <w:r>
        <w:t>2 Literature Review</w:t>
      </w:r>
    </w:p>
    <w:p>
      <w:r>
        <w:t>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 The following review therefore begins by clarifying what reshoring means and what it does not, then presents the two theoretical perspectives used to interpret the results, separates the drivers of reshoring from the barriers to its implementation, and closes with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provides insights on the arrival side of implementation. In this theory, competitive advantage rests on resources that are valuable, rare, imperfectly imitable and non-substitutable (Barney, 1991). As with TCE, the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Expert-based decision analysis has also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 conditions that any repatriating firm will inherit (Mirzaei et al., 2021).</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Asia is the primary offshore manufacturing destination (Gao et al., 2022). Even so,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that evidence together in a systematic review; how this was done is described next.</w:t>
      </w:r>
    </w:p>
    <w:p>
      <w:pPr>
        <w:pStyle w:val="Heading1"/>
      </w:pPr>
      <w:r>
        <w:t>3 Research Methodology</w:t>
      </w:r>
    </w:p>
    <w:p>
      <w:r>
        <w:t>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 What follows therefore documents the three steps on which the synthesis is built: the choice of a systematic literature review as the research design, the literature search and the criteria used to select the analytical sample (summarised in Figure 1), and the coding procedure through which the findings of the included studies were organised into barrier themes within the four categories of the firm-level framework (illustrated in Table 1). The limitations of this approach are discussed later, alongside the findings to which they relate.</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To be included in the analytical sample, a study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presented in an adapted PRISMA 2020 flow diagram in Figure 1.</w:t>
      </w:r>
    </w:p>
    <w:p>
      <w:pPr>
        <w:spacing w:line="240" w:lineRule="auto"/>
        <w:jc w:val="center"/>
      </w:pPr>
      <w:r>
        <w:drawing>
          <wp:inline xmlns:a="http://schemas.openxmlformats.org/drawingml/2006/main" xmlns:pic="http://schemas.openxmlformats.org/drawingml/2006/picture">
            <wp:extent cx="5669280" cy="6119043"/>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119043"/>
                    </a:xfrm>
                    <a:prstGeom prst="rect"/>
                  </pic:spPr>
                </pic:pic>
              </a:graphicData>
            </a:graphic>
          </wp:inline>
        </w:drawing>
      </w:r>
    </w:p>
    <w:p>
      <w:pPr>
        <w:pStyle w:val="FigureCaption"/>
      </w:pPr>
      <w:r>
        <w:rPr>
          <w:b/>
        </w:rPr>
        <w:t>Figure 1.</w:t>
      </w:r>
      <w:r>
        <w:t xml:space="preserve"> </w:t>
      </w:r>
      <w:r>
        <w:rPr>
          <w:i/>
        </w:rPr>
        <w:t>Adapted PRISMA 2020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reporting and interpretation of the results to treat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eighteen barrier themes that resulted from this process, organised within the four categories of the firm-level framework, are presented next.</w:t>
      </w:r>
    </w:p>
    <w:p>
      <w:pPr>
        <w:pStyle w:val="Heading1"/>
      </w:pPr>
      <w:r>
        <w:t>4 Results</w:t>
      </w:r>
    </w:p>
    <w:p>
      <w:r>
        <w:t>The reviewed literature does not speak about reshoring barriers with one voice. Some studies observe individual returns directly (Pegoraro et al., 2022; Pedroletti, 2025). Others draw on multiple firms or cases (Boffelli et al., 2021; Li et al., 2025; Mirzaei et al., 2021). Others again aggregate previous findings in reviews or argue conceptually (Wiesmann et al., 2017; D'Ambrosio &amp; Lavoratori, 2025). Two reading rules therefore apply to everything reported below.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 The overview of the evidence base and of all eighteen barrier themes (Table 2) comes first, followed by the barriers in each of the four framework categories, ending with the asset/capability barriers, which have the broadest support in the reviewed literature.</w:t>
      </w:r>
    </w:p>
    <w:p>
      <w:pPr>
        <w:pStyle w:val="Heading2"/>
      </w:pPr>
      <w:r>
        <w:t>4.1 Overview of the Analytical Sample and Barrier Landscape</w:t>
      </w:r>
    </w:p>
    <w:p>
      <w:r>
        <w:t>The barrier synthesis is based on the formal analytical sample of 21 sources described in the methodology. Fourteen of these sources provide direct barrier evidence and are coded in Table 1 and Table 2. A fifteenth source is represented only as contextual evidence on drivers and strategic renewal, not as a barrier-theme entry (Robinson &amp; Hsieh, 2016). A sixteenth is used solely as a basis for terminology and frameworks, not for barrier evidence (Tsai &amp; Urmetzer, 2024).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Two further studies provide auxiliary empirical evidence (Di Mauro et al., 2018; Mirzaei et al., 2021). A third supporting empirical study provides only contextual evidence (Robinson &amp; Hsieh, 2016). The evidence from literature is derived from six sources (Pedroletti &amp; Ciabuschi, 2023; Wiesmann et al., 2017; Espíndola et al., 2023; Di Stefano &amp; Fratocchi, 2019; Ocicka, 2016; Bilbao-Ubillos et al., 2024). Conceptual argument comes from two further sources (D'Ambrosio &amp; Lavoratori, 2025; Gupta et al., 2023). The types are listed separately throughout, to avoid consolidating them into a single frequency, since the evidential weight of a case observation is different from that of a review finding, or a conceptual argument. Both of the two main empirical studies have a single-case design, and their results are presented as case studies, not generalisations (Pegoraro et al., 2022; Pedroletti, 2025).</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No</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No</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Yes</w:t>
            </w:r>
          </w:p>
        </w:tc>
        <w:tc>
          <w:tcPr>
            <w:tcW w:type="dxa" w:w="1560"/>
          </w:tcPr>
          <w:p>
            <w:pPr>
              <w:spacing w:line="240" w:lineRule="auto"/>
            </w:pPr>
            <w:r>
              <w:rPr>
                <w:sz w:val="20"/>
              </w:rPr>
              <w:t>Yes</w:t>
            </w:r>
          </w:p>
        </w:tc>
        <w:tc>
          <w:tcPr>
            <w:tcW w:type="dxa" w:w="1560"/>
          </w:tcPr>
          <w:p>
            <w:pPr>
              <w:spacing w:line="240" w:lineRule="auto"/>
            </w:pPr>
            <w:r>
              <w:rPr>
                <w:sz w:val="20"/>
              </w:rPr>
              <w:t>No</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It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below.</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(Pedroletti, 2025).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the inability to fully replace the Chinese network was the reason for partial reshoring, as the firm lacked the production knowledge, experience with the components, specialised sourcing skills, and suitable domestic suppliers (Pedroletti, 2025).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above.</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What these patterns mean is interpreted next.</w:t>
      </w:r>
    </w:p>
    <w:p>
      <w:pPr>
        <w:pStyle w:val="Heading1"/>
      </w:pPr>
      <w:r>
        <w:t>5 Discussion</w:t>
      </w:r>
    </w:p>
    <w:p>
      <w:r>
        <w:t>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 The interpretation below moves from the overall pattern of the results and the interactions between the barrier categories, through a reading of the findings in the light of Transaction Cost Economics and the Resource-Based View, to the managerial implications that answer the second sub-question, and finally to the limitations of the study and the research directions that follow from them. Throughout, interpretations made by this thesis are distinguished from findings reported by the original studies, and direct implementation evidence is given more analytical weight than review-level or conceptual evidence. In its truly Asia-specific core, that direct evidence rests on two single cases (Pegoraro et al., 2022; Pedroletti, 2025).</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a single acquisition decision was followed by a twelve-month capability-building process, providing a more tangible example than any overall finding of the need for a separate analysis of the implementation stage (Pegoraro et al., 2022).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This suggests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acts as a complementary resource endowment that individual firms can access but not produce on their own, which also sheds light on the regional ecosystem findings (Pegoraro et al., 2022).</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If the evidence on employee and stakeholder reactions is taken seriously, the communication and treatment of the offshore workforce should also be planned as a part of the implementation, not as an afterthought (Di Stefano &amp; Fratocchi, 2019).</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 automation-dependent reshoring strategy must therefore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alone, and, as the literature search was conducted iteratively, intermediate search and exclusion counts were not systematically recorded. The review was also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most direct evidence is provided by established manufacturers, while the conceptual literature indicates that the reshoring of smaller firms is different in nature — done defensively and with fewer managerial resources (D'Ambrosio &amp; Lavoratori, 2025). Lastly, the four-category framework derived here is a synthesis product and would be improved by quantitative testing on a larger sample of implementation cases, and the theoretical reading presented above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The conclusion brings the analysis to a close, answers the research question and the two sub-questions, states the contribution of the study, and ends with a frank discussion of what the evidence does and does not support.</w:t>
      </w:r>
    </w:p>
    <w:p>
      <w:r>
        <w:t>In answer to the core research question, the review shows that the key obstacles manufacturing companies encounter when implementing reshoring from Asian markets are, first and foremost, connected with the rebuilding of domestic capability. The skills, machinery, tooling, and the ecosystem of suppliers that have been lost over the years of offshoring cannot be rebuilt through acquisition alone (Pegoraro et al., 2022). Closely related is the reliance on specialised host-country suppliers, which in the case evidence limited both the manner in which a return was conducted and the extent of the return that was possible (Pedroletti, 2025). These capability-side challenges are exacerbated by the underestimation of operational changes and organisational readiness gaps (Boffelli et al., 2021). They are compounded by the new fixed and coordination costs that a return brings and, less obviously but no less durably, by host-country exit constraints such as layoff regulations and closure obligations (Li et al., 2025; Pedroletti, 2025). None of these barriers exists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t>The first sub-question concerned how the identified barriers can be categorised into a systematic firm-level framework. Based on the literature reviewed, the barriers were grouped into four categories, regulatory/institutional, cultural/organisational, cost/operational, and asset/capability, and eighteen barrier themes.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support across evidence types, while the regulatory/institutional category has the least. This is not a final conclusion on the significance of regulatory barriers in the real world, but rather a characteristic of the evidence base.</w:t>
      </w:r>
    </w:p>
    <w:p>
      <w:r>
        <w:t>In relation to the second sub-question, the findings suggest that the barriers identified can be mitigated by tackling them at the point in the return process where they occur. Before commitment, a true total-cost analysis of the return and a capability audit of what the firm actually controls, as opposed to what is held by the host-country supplier, help prevent the underestimation that the evidence repeatedly documents. At the exit stage, host-country regulatory and contractual due diligence should be budgeted as a separate line item rather than treated as incidental to the move. During transfer and rebuilding, capability should be planned as a system of machinery, tooling, software and workforce training, not as a single purchase.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Taken together, these measures carry a more general implication. Implementation capacity, understood as cross-functional coordination and organisational readiness, is a resource that firms should develop intentionally, as the evidence suggests that it is what makes the other barriers more or less harmful.</w:t>
      </w:r>
    </w:p>
    <w:p>
      <w:r>
        <w:t>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the introduction by refocusing the analytical lens from the question of why firms reshore to the question of how, and by structuring the analytical focus around a firm-level framework instead of a list of disconnected findings.</w:t>
      </w:r>
    </w:p>
    <w:p>
      <w:r>
        <w:t>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generalised to Asian markets as a whole. In that context, the results show that the challenge of reshoring is not so much about the decision to reshore as about the reconstruction of the productive capability that has been eroded over the years by offshoring. Reshoring emerges as a project of its own, with its own rationale, its own costs, and its own potential for partial or incomplete success.</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Table 1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