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r>
        <w:br w:type="page"/>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r>
        <w:br w:type="page"/>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r>
        <w:br w:type="page"/>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The conclusion brings the analysis to a close, answers the research question and the two sub-questions, states the contribution of the study, and ends with a frank discussion of what the evidence does and does not support.</w:t>
      </w:r>
    </w:p>
    <w:p>
      <w:r>
        <w:t>In answer to the core research question, the review shows that the key obstacles manufacturing companies encounter when implementing reshoring from Asian markets are, first and foremost, connected with the rebuilding of domestic capability. The skills, machinery, tooling, and the ecosystem of suppliers that have been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capability-side challenges are exacerbated by the underestimation of operational changes and organisational readiness gaps (Boffelli et al., 2021). They are compounded by the new fixed and coordination costs that a return brings and, less obviously but no less durably, by host-country exit constraints such as layoff regulations and closure obligations (Li et al., 2025; Pedroletti, 2025). None of these barriers exists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t>The first sub-question concerned how the identified barriers can be categorised into a systematic firm-level framework. Based on the literature reviewed, the barriers were grouped into four categories, regulatory/institutional, cultural/organisational, cost/operational, and asset/capability, and eighteen barrier themes.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support across evidence types, while the regulatory/institutional category has the least. This is not a final conclusion on the significance of regulatory barriers in the real world, but rather a characteristic of the evidence base.</w:t>
      </w:r>
    </w:p>
    <w:p>
      <w:r>
        <w:t>In relation to the second sub-question, the findings suggest that the barriers identified can be mitigated by tackling them at the point in the return process where they occur. Before commitment, a true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rather than treated as incidental to the move. During transfer and rebuilding, capability should be planned as a system of machinery, tooling, software and workforce training, not as a single purchase.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Taken together, these measures carry a more general implication. Implementation capacity, understood as cross-functional coordination and organisational readiness, is a resource that firms should develop intentionally, as the evidence suggests that it is what makes the other barriers more or less harmful.</w:t>
      </w:r>
    </w:p>
    <w:p>
      <w:r>
        <w:t>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the introduction by refocusing the analytical lens from the question of why firms reshore to the question of how, and by structuring the analytical focus around a firm-level framework instead of a list of disconnected findings.</w:t>
      </w:r>
    </w:p>
    <w:p>
      <w:r>
        <w:t>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generalised to Asian markets as a whole. In that context, the results show that the challenge of reshoring is not so much about the decision to reshore as about the reconstruction of the productive capability that has been eroded over the years by offshoring. Reshoring emerges as a project of its own,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