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Covenant Game — Weekly Summary</w:t>
      </w:r>
    </w:p>
    <w:p>
      <w:r>
        <w:rPr>
          <w:b/>
        </w:rPr>
        <w:t xml:space="preserve">Week ending Friday 2026-08-21</w:t>
      </w:r>
      <w:r>
        <w:t xml:space="preserve"> · NCRI × AE Studio</w:t>
      </w:r>
    </w:p>
    <w:p>
      <w:pPr>
        <w:pStyle w:val="Heading2"/>
      </w:pPr>
      <w:r>
        <w:t xml:space="preserve">Headline</w:t>
      </w:r>
    </w:p>
    <w:p>
      <w:r>
        <w:t xml:space="preserve">Powered the repository-stewardship governance ladder to n ≥ 30 per cell across </w:t>
      </w:r>
      <w:r>
        <w:rPr>
          <w:b/>
        </w:rPr>
        <w:t xml:space="preserve">seven model families and three vendors</w:t>
      </w:r>
      <w:r>
        <w:t xml:space="preserve">, established that </w:t>
      </w:r>
      <w:r>
        <w:rPr>
          <w:b/>
        </w:rPr>
        <w:t xml:space="preserve">affirmation adds nothing over instruction</w:t>
      </w:r>
      <w:r>
        <w:t xml:space="preserve">, diagnosed why one model family showed no effect at all, and consolidated everything into a deck and a written report.</w:t>
      </w:r>
    </w:p>
    <w:p>
      <w:r>
        <w:t xml:space="preserve">The result of the week, stated plainly: </w:t>
      </w:r>
      <w:r>
        <w:rPr>
          <w:b/>
        </w:rPr>
        <w:t xml:space="preserve">obligation worked, affirmation did not</w:t>
      </w:r>
      <w:r>
        <w:t xml:space="preserve"> — and that gap is the finding.</w:t>
      </w:r>
    </w:p>
    <w:p>
      <w:pPr>
        <w:pStyle w:val="Heading2"/>
      </w:pPr>
      <w:r>
        <w:t xml:space="preserve">Where the three hypotheses stand</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3120" w:type="dxa"/>
            <w:shd w:val="clear" w:color="auto" w:fill="F3F4F6"/>
            <w:vAlign w:val="center"/>
          </w:tcPr>
          <w:p>
            <w:pPr>
              <w:spacing w:before="0" w:after="0"/>
            </w:pPr>
            <w:r>
              <w:t/>
            </w:r>
          </w:p>
        </w:tc>
        <w:tc>
          <w:tcPr>
            <w:tcW w:w="3120" w:type="dxa"/>
            <w:shd w:val="clear" w:color="auto" w:fill="F3F4F6"/>
            <w:vAlign w:val="center"/>
          </w:tcPr>
          <w:p>
            <w:pPr>
              <w:spacing w:before="0" w:after="0"/>
            </w:pPr>
            <w:r>
              <w:rPr>
                <w:b/>
              </w:rPr>
              <w:t xml:space="preserve">Hypothesis</w:t>
            </w:r>
          </w:p>
        </w:tc>
        <w:tc>
          <w:tcPr>
            <w:tcW w:w="3120" w:type="dxa"/>
            <w:shd w:val="clear" w:color="auto" w:fill="F3F4F6"/>
            <w:vAlign w:val="center"/>
          </w:tcPr>
          <w:p>
            <w:pPr>
              <w:spacing w:before="0" w:after="0"/>
            </w:pPr>
            <w:r>
              <w:rPr>
                <w:b/>
              </w:rPr>
              <w:t xml:space="preserve">Status</w:t>
            </w:r>
          </w:p>
        </w:tc>
      </w:tr>
      <w:tr>
        <w:tc>
          <w:tcPr>
            <w:tcW w:w="3120" w:type="dxa"/>
            <w:vAlign w:val="center"/>
          </w:tcPr>
          <w:p>
            <w:pPr>
              <w:spacing w:before="0" w:after="0"/>
            </w:pPr>
            <w:r>
              <w:rPr>
                <w:b/>
              </w:rPr>
              <w:t xml:space="preserve">H1</w:t>
            </w:r>
          </w:p>
        </w:tc>
        <w:tc>
          <w:tcPr>
            <w:tcW w:w="3120" w:type="dxa"/>
            <w:vAlign w:val="center"/>
          </w:tcPr>
          <w:p>
            <w:pPr>
              <w:spacing w:before="0" w:after="0"/>
            </w:pPr>
            <w:r>
              <w:t xml:space="preserve">Stating an obligation reduces defection</w:t>
            </w:r>
          </w:p>
        </w:tc>
        <w:tc>
          <w:tcPr>
            <w:tcW w:w="3120" w:type="dxa"/>
            <w:vAlign w:val="center"/>
          </w:tcPr>
          <w:p>
            <w:pPr>
              <w:spacing w:before="0" w:after="0"/>
            </w:pPr>
            <w:r>
              <w:rPr>
                <w:b/>
              </w:rPr>
              <w:t xml:space="preserve">Confirmed, and large.</w:t>
            </w:r>
            <w:r>
              <w:t xml:space="preserve"> 61% → 19% on known-bug shipping; mean live bugs remaining 1.50 → 0.56 of two</w:t>
            </w:r>
          </w:p>
        </w:tc>
      </w:tr>
      <w:tr>
        <w:tc>
          <w:tcPr>
            <w:tcW w:w="3120" w:type="dxa"/>
            <w:vAlign w:val="center"/>
          </w:tcPr>
          <w:p>
            <w:pPr>
              <w:spacing w:before="0" w:after="0"/>
            </w:pPr>
            <w:r>
              <w:rPr>
                <w:b/>
              </w:rPr>
              <w:t xml:space="preserve">H2</w:t>
            </w:r>
          </w:p>
        </w:tc>
        <w:tc>
          <w:tcPr>
            <w:tcW w:w="3120" w:type="dxa"/>
            <w:vAlign w:val="center"/>
          </w:tcPr>
          <w:p>
            <w:pPr>
              <w:spacing w:before="0" w:after="0"/>
            </w:pPr>
            <w:r>
              <w:t xml:space="preserve">Affirming it adds something over being handed it</w:t>
            </w:r>
          </w:p>
        </w:tc>
        <w:tc>
          <w:tcPr>
            <w:tcW w:w="3120" w:type="dxa"/>
            <w:vAlign w:val="center"/>
          </w:tcPr>
          <w:p>
            <w:pPr>
              <w:spacing w:before="0" w:after="0"/>
            </w:pPr>
            <w:r>
              <w:rPr>
                <w:b/>
              </w:rPr>
              <w:t xml:space="preserve">Not supported, negative on one family.</w:t>
            </w:r>
            <w:r>
              <w:t xml:space="preserve"> Blocked within family: −0.29 bugs, 95% CI [−0.44, −0.14], p = .0002, favouring the imposed rule</w:t>
            </w:r>
          </w:p>
        </w:tc>
      </w:tr>
      <w:tr>
        <w:tc>
          <w:tcPr>
            <w:tcW w:w="3120" w:type="dxa"/>
            <w:vAlign w:val="center"/>
          </w:tcPr>
          <w:p>
            <w:pPr>
              <w:spacing w:before="0" w:after="0"/>
            </w:pPr>
            <w:r>
              <w:rPr>
                <w:b/>
              </w:rPr>
              <w:t xml:space="preserve">H3</w:t>
            </w:r>
          </w:p>
        </w:tc>
        <w:tc>
          <w:tcPr>
            <w:tcW w:w="3120" w:type="dxa"/>
            <w:vAlign w:val="center"/>
          </w:tcPr>
          <w:p>
            <w:pPr>
              <w:spacing w:before="0" w:after="0"/>
            </w:pPr>
            <w:r>
              <w:t xml:space="preserve">The effect disappears at the frontier</w:t>
            </w:r>
          </w:p>
        </w:tc>
        <w:tc>
          <w:tcPr>
            <w:tcW w:w="3120" w:type="dxa"/>
            <w:vAlign w:val="center"/>
          </w:tcPr>
          <w:p>
            <w:pPr>
              <w:spacing w:before="0" w:after="0"/>
            </w:pPr>
            <w:r>
              <w:rPr>
                <w:b/>
              </w:rPr>
              <w:t xml:space="preserve">Rejected as stated.</w:t>
            </w:r>
            <w:r>
              <w:t xml:space="preserve"> The ceiling was one model, not the frontier — two of three families tested fail readily and respond to governance</w:t>
            </w:r>
          </w:p>
        </w:tc>
      </w:tr>
    </w:tbl>
    <w:p>
      <w:pPr>
        <w:pStyle w:val="Heading2"/>
      </w:pPr>
      <w:r>
        <w:t xml:space="preserve">The instrument, in one paragraph</w:t>
      </w:r>
    </w:p>
    <w:p>
      <w:r>
        <w:t xml:space="preserve">Two live agents — a developer and a reviewer — maintain one persistent codebase across six tickets. Two security defects are already present and free to find. The action budget does not fit shipping the backlog </w:t>
      </w:r>
      <w:r>
        <w:rPr>
          <w:b/>
        </w:rPr>
        <w:t xml:space="preserve">and</w:t>
      </w:r>
      <w:r>
        <w:t xml:space="preserve"> fixing both, so integrity has a real price. Shipping a security hole you already know about, to hit a deadline, is the defection. Three arms differ only in normative structure: nothing stated, an obligation imposed by the project, or the same obligation mutually affirmed by both agents.</w:t>
      </w:r>
    </w:p>
    <w:p>
      <w:r>
        <w:rPr>
          <w:b/>
        </w:rPr>
        <w:t xml:space="preserve">Why the measurement holds up.</w:t>
      </w:r>
      <w:r>
        <w:t xml:space="preserve"> The outcome is the state of the code, inspected directly and never graded by a model. The two governed arms are matched clause for clause and character for character — five clauses each, 491 against 477 characters, decision lines identical at 97 — and a test fails if either string drifts. The covenant deliberately carries no stake, forfeiture, or expulsion: the moment it changes penalties, an observed difference could be enforcement and the contrast is dead. The agents never see the score.</w:t>
      </w:r>
    </w:p>
    <w:p>
      <w:pPr>
        <w:pStyle w:val="Heading2"/>
      </w:pPr>
      <w:r>
        <w:t xml:space="preserve">Result 1 — a stated obligation sharply reduces a real defection</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2340" w:type="dxa"/>
            <w:shd w:val="clear" w:color="auto" w:fill="F3F4F6"/>
            <w:vAlign w:val="center"/>
          </w:tcPr>
          <w:p>
            <w:pPr>
              <w:spacing w:before="0" w:after="0"/>
            </w:pPr>
            <w:r>
              <w:rPr>
                <w:b/>
              </w:rPr>
              <w:t xml:space="preserve">Group</w:t>
            </w:r>
          </w:p>
        </w:tc>
        <w:tc>
          <w:tcPr>
            <w:tcW w:w="2340" w:type="dxa"/>
            <w:shd w:val="clear" w:color="auto" w:fill="F3F4F6"/>
            <w:vAlign w:val="center"/>
          </w:tcPr>
          <w:p>
            <w:pPr>
              <w:spacing w:before="0" w:after="0"/>
            </w:pPr>
            <w:r>
              <w:rPr>
                <w:b/>
              </w:rPr>
              <w:t xml:space="preserve">n</w:t>
            </w:r>
          </w:p>
        </w:tc>
        <w:tc>
          <w:tcPr>
            <w:tcW w:w="2340" w:type="dxa"/>
            <w:shd w:val="clear" w:color="auto" w:fill="F3F4F6"/>
            <w:vAlign w:val="center"/>
          </w:tcPr>
          <w:p>
            <w:pPr>
              <w:spacing w:before="0" w:after="0"/>
            </w:pPr>
            <w:r>
              <w:rPr>
                <w:b/>
              </w:rPr>
              <w:t xml:space="preserve">Shipped a bug they had found</w:t>
            </w:r>
          </w:p>
        </w:tc>
        <w:tc>
          <w:tcPr>
            <w:tcW w:w="2340" w:type="dxa"/>
            <w:shd w:val="clear" w:color="auto" w:fill="F3F4F6"/>
            <w:vAlign w:val="center"/>
          </w:tcPr>
          <w:p>
            <w:pPr>
              <w:spacing w:before="0" w:after="0"/>
            </w:pPr>
            <w:r>
              <w:rPr>
                <w:b/>
              </w:rPr>
              <w:t xml:space="preserve">Merged a change carrying a live defect</w:t>
            </w:r>
          </w:p>
        </w:tc>
      </w:tr>
      <w:tr>
        <w:tc>
          <w:tcPr>
            <w:tcW w:w="2340" w:type="dxa"/>
            <w:vAlign w:val="center"/>
          </w:tcPr>
          <w:p>
            <w:pPr>
              <w:spacing w:before="0" w:after="0"/>
            </w:pPr>
            <w:r>
              <w:t xml:space="preserve">Nothing stated</w:t>
            </w:r>
          </w:p>
        </w:tc>
        <w:tc>
          <w:tcPr>
            <w:tcW w:w="2340" w:type="dxa"/>
            <w:vAlign w:val="center"/>
          </w:tcPr>
          <w:p>
            <w:pPr>
              <w:spacing w:before="0" w:after="0"/>
            </w:pPr>
            <w:r>
              <w:t xml:space="preserve">127</w:t>
            </w:r>
          </w:p>
        </w:tc>
        <w:tc>
          <w:tcPr>
            <w:tcW w:w="2340" w:type="dxa"/>
            <w:vAlign w:val="center"/>
          </w:tcPr>
          <w:p>
            <w:pPr>
              <w:spacing w:before="0" w:after="0"/>
            </w:pPr>
            <w:r>
              <w:rPr>
                <w:b/>
              </w:rPr>
              <w:t xml:space="preserve">61%</w:t>
            </w:r>
          </w:p>
        </w:tc>
        <w:tc>
          <w:tcPr>
            <w:tcW w:w="2340" w:type="dxa"/>
            <w:vAlign w:val="center"/>
          </w:tcPr>
          <w:p>
            <w:pPr>
              <w:spacing w:before="0" w:after="0"/>
            </w:pPr>
            <w:r>
              <w:rPr>
                <w:b/>
              </w:rPr>
              <w:t xml:space="preserve">91%</w:t>
            </w:r>
          </w:p>
        </w:tc>
      </w:tr>
      <w:tr>
        <w:tc>
          <w:tcPr>
            <w:tcW w:w="2340" w:type="dxa"/>
            <w:vAlign w:val="center"/>
          </w:tcPr>
          <w:p>
            <w:pPr>
              <w:spacing w:before="0" w:after="0"/>
            </w:pPr>
            <w:r>
              <w:t xml:space="preserve">Imposed rule</w:t>
            </w:r>
          </w:p>
        </w:tc>
        <w:tc>
          <w:tcPr>
            <w:tcW w:w="2340" w:type="dxa"/>
            <w:vAlign w:val="center"/>
          </w:tcPr>
          <w:p>
            <w:pPr>
              <w:spacing w:before="0" w:after="0"/>
            </w:pPr>
            <w:r>
              <w:t xml:space="preserve">238</w:t>
            </w:r>
          </w:p>
        </w:tc>
        <w:tc>
          <w:tcPr>
            <w:tcW w:w="2340" w:type="dxa"/>
            <w:vAlign w:val="center"/>
          </w:tcPr>
          <w:p>
            <w:pPr>
              <w:spacing w:before="0" w:after="0"/>
            </w:pPr>
            <w:r>
              <w:t xml:space="preserve">19%</w:t>
            </w:r>
          </w:p>
        </w:tc>
        <w:tc>
          <w:tcPr>
            <w:tcW w:w="2340" w:type="dxa"/>
            <w:vAlign w:val="center"/>
          </w:tcPr>
          <w:p>
            <w:pPr>
              <w:spacing w:before="0" w:after="0"/>
            </w:pPr>
            <w:r>
              <w:t xml:space="preserve">13%</w:t>
            </w:r>
          </w:p>
        </w:tc>
      </w:tr>
      <w:tr>
        <w:tc>
          <w:tcPr>
            <w:tcW w:w="2340" w:type="dxa"/>
            <w:vAlign w:val="center"/>
          </w:tcPr>
          <w:p>
            <w:pPr>
              <w:spacing w:before="0" w:after="0"/>
            </w:pPr>
            <w:r>
              <w:t xml:space="preserve">Affirmed covenant</w:t>
            </w:r>
          </w:p>
        </w:tc>
        <w:tc>
          <w:tcPr>
            <w:tcW w:w="2340" w:type="dxa"/>
            <w:vAlign w:val="center"/>
          </w:tcPr>
          <w:p>
            <w:pPr>
              <w:spacing w:before="0" w:after="0"/>
            </w:pPr>
            <w:r>
              <w:t xml:space="preserve">238</w:t>
            </w:r>
          </w:p>
        </w:tc>
        <w:tc>
          <w:tcPr>
            <w:tcW w:w="2340" w:type="dxa"/>
            <w:vAlign w:val="center"/>
          </w:tcPr>
          <w:p>
            <w:pPr>
              <w:spacing w:before="0" w:after="0"/>
            </w:pPr>
            <w:r>
              <w:t xml:space="preserve">19%</w:t>
            </w:r>
          </w:p>
        </w:tc>
        <w:tc>
          <w:tcPr>
            <w:tcW w:w="2340" w:type="dxa"/>
            <w:vAlign w:val="center"/>
          </w:tcPr>
          <w:p>
            <w:pPr>
              <w:spacing w:before="0" w:after="0"/>
            </w:pPr>
            <w:r>
              <w:t xml:space="preserve">16%</w:t>
            </w:r>
          </w:p>
        </w:tc>
      </w:tr>
    </w:tbl>
    <w:p>
      <w:r>
        <w:t xml:space="preserve">The first column requires that the agent </w:t>
      </w:r>
      <w:r>
        <w:rPr>
          <w:i/>
        </w:rPr>
        <w:t xml:space="preserve">found</w:t>
      </w:r>
      <w:r>
        <w:t xml:space="preserve"> the defect and shipped anyway — a pair that never looked is negligent, not in breach, and is not counted. 61% is the conservative floor for knowing breach; 91% is what actually reached the repository.</w:t>
      </w:r>
    </w:p>
    <w:p>
      <w:pPr>
        <w:pStyle w:val="Heading2"/>
      </w:pPr>
      <w:r>
        <w:t xml:space="preserve">Result 2 — affirming it never beat being handed it</w:t>
      </w:r>
    </w:p>
    <w:p>
      <w:r>
        <w:t xml:space="preserve">Mean live security bugs remaining, out of two:</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1872" w:type="dxa"/>
            <w:shd w:val="clear" w:color="auto" w:fill="F3F4F6"/>
            <w:vAlign w:val="center"/>
          </w:tcPr>
          <w:p>
            <w:pPr>
              <w:spacing w:before="0" w:after="0"/>
            </w:pPr>
            <w:r>
              <w:rPr>
                <w:b/>
              </w:rPr>
              <w:t xml:space="preserve">Model family</w:t>
            </w:r>
          </w:p>
        </w:tc>
        <w:tc>
          <w:tcPr>
            <w:tcW w:w="1872" w:type="dxa"/>
            <w:shd w:val="clear" w:color="auto" w:fill="F3F4F6"/>
            <w:vAlign w:val="center"/>
          </w:tcPr>
          <w:p>
            <w:pPr>
              <w:spacing w:before="0" w:after="0"/>
            </w:pPr>
            <w:r>
              <w:rPr>
                <w:b/>
              </w:rPr>
              <w:t xml:space="preserve">Nothing stated</w:t>
            </w:r>
          </w:p>
        </w:tc>
        <w:tc>
          <w:tcPr>
            <w:tcW w:w="1872" w:type="dxa"/>
            <w:shd w:val="clear" w:color="auto" w:fill="F3F4F6"/>
            <w:vAlign w:val="center"/>
          </w:tcPr>
          <w:p>
            <w:pPr>
              <w:spacing w:before="0" w:after="0"/>
            </w:pPr>
            <w:r>
              <w:rPr>
                <w:b/>
              </w:rPr>
              <w:t xml:space="preserve">Imposed rule</w:t>
            </w:r>
          </w:p>
        </w:tc>
        <w:tc>
          <w:tcPr>
            <w:tcW w:w="1872" w:type="dxa"/>
            <w:shd w:val="clear" w:color="auto" w:fill="F3F4F6"/>
            <w:vAlign w:val="center"/>
          </w:tcPr>
          <w:p>
            <w:pPr>
              <w:spacing w:before="0" w:after="0"/>
            </w:pPr>
            <w:r>
              <w:rPr>
                <w:b/>
              </w:rPr>
              <w:t xml:space="preserve">Affirmed covenant</w:t>
            </w:r>
          </w:p>
        </w:tc>
        <w:tc>
          <w:tcPr>
            <w:tcW w:w="1872" w:type="dxa"/>
            <w:shd w:val="clear" w:color="auto" w:fill="F3F4F6"/>
            <w:vAlign w:val="center"/>
          </w:tcPr>
          <w:p>
            <w:pPr>
              <w:spacing w:before="0" w:after="0"/>
            </w:pPr>
            <w:r>
              <w:rPr>
                <w:b/>
              </w:rPr>
              <w:t xml:space="preserve">Rule vs covenant</w:t>
            </w:r>
          </w:p>
        </w:tc>
      </w:tr>
      <w:tr>
        <w:tc>
          <w:tcPr>
            <w:tcW w:w="1872" w:type="dxa"/>
            <w:vAlign w:val="center"/>
          </w:tcPr>
          <w:p>
            <w:pPr>
              <w:spacing w:before="0" w:after="0"/>
            </w:pPr>
            <w:r>
              <w:rPr>
                <w:rFonts w:ascii="Consolas" w:hAnsi="Consolas"/>
                <w:sz w:val="18"/>
              </w:rPr>
              <w:t xml:space="preserve">gpt-5.6-luna</w:t>
            </w:r>
          </w:p>
        </w:tc>
        <w:tc>
          <w:tcPr>
            <w:tcW w:w="1872" w:type="dxa"/>
            <w:vAlign w:val="center"/>
          </w:tcPr>
          <w:p>
            <w:pPr>
              <w:spacing w:before="0" w:after="0"/>
            </w:pPr>
            <w:r>
              <w:t xml:space="preserve">2.00</w:t>
            </w:r>
          </w:p>
        </w:tc>
        <w:tc>
          <w:tcPr>
            <w:tcW w:w="1872" w:type="dxa"/>
            <w:vAlign w:val="center"/>
          </w:tcPr>
          <w:p>
            <w:pPr>
              <w:spacing w:before="0" w:after="0"/>
            </w:pPr>
            <w:r>
              <w:t xml:space="preserve">0.93</w:t>
            </w:r>
          </w:p>
        </w:tc>
        <w:tc>
          <w:tcPr>
            <w:tcW w:w="1872" w:type="dxa"/>
            <w:vAlign w:val="center"/>
          </w:tcPr>
          <w:p>
            <w:pPr>
              <w:spacing w:before="0" w:after="0"/>
            </w:pPr>
            <w:r>
              <w:t xml:space="preserve">1.30</w:t>
            </w:r>
          </w:p>
        </w:tc>
        <w:tc>
          <w:tcPr>
            <w:tcW w:w="1872" w:type="dxa"/>
            <w:vAlign w:val="center"/>
          </w:tcPr>
          <w:p>
            <w:pPr>
              <w:spacing w:before="0" w:after="0"/>
            </w:pPr>
            <w:r>
              <w:t xml:space="preserve">no difference (p = .178)</w:t>
            </w:r>
          </w:p>
        </w:tc>
      </w:tr>
      <w:tr>
        <w:tc>
          <w:tcPr>
            <w:tcW w:w="1872" w:type="dxa"/>
            <w:vAlign w:val="center"/>
          </w:tcPr>
          <w:p>
            <w:pPr>
              <w:spacing w:before="0" w:after="0"/>
            </w:pPr>
            <w:r>
              <w:rPr>
                <w:rFonts w:ascii="Consolas" w:hAnsi="Consolas"/>
                <w:sz w:val="18"/>
              </w:rPr>
              <w:t xml:space="preserve">claude-haiku-4.5</w:t>
            </w:r>
          </w:p>
        </w:tc>
        <w:tc>
          <w:tcPr>
            <w:tcW w:w="1872" w:type="dxa"/>
            <w:vAlign w:val="center"/>
          </w:tcPr>
          <w:p>
            <w:pPr>
              <w:spacing w:before="0" w:after="0"/>
            </w:pPr>
            <w:r>
              <w:t xml:space="preserve">2.00</w:t>
            </w:r>
          </w:p>
        </w:tc>
        <w:tc>
          <w:tcPr>
            <w:tcW w:w="1872" w:type="dxa"/>
            <w:vAlign w:val="center"/>
          </w:tcPr>
          <w:p>
            <w:pPr>
              <w:spacing w:before="0" w:after="0"/>
            </w:pPr>
            <w:r>
              <w:t xml:space="preserve">0.75</w:t>
            </w:r>
          </w:p>
        </w:tc>
        <w:tc>
          <w:tcPr>
            <w:tcW w:w="1872" w:type="dxa"/>
            <w:vAlign w:val="center"/>
          </w:tcPr>
          <w:p>
            <w:pPr>
              <w:spacing w:before="0" w:after="0"/>
            </w:pPr>
            <w:r>
              <w:t xml:space="preserve">0.65</w:t>
            </w:r>
          </w:p>
        </w:tc>
        <w:tc>
          <w:tcPr>
            <w:tcW w:w="1872" w:type="dxa"/>
            <w:vAlign w:val="center"/>
          </w:tcPr>
          <w:p>
            <w:pPr>
              <w:spacing w:before="0" w:after="0"/>
            </w:pPr>
            <w:r>
              <w:t xml:space="preserve">no difference (p = .385)</w:t>
            </w:r>
          </w:p>
        </w:tc>
      </w:tr>
      <w:tr>
        <w:tc>
          <w:tcPr>
            <w:tcW w:w="1872" w:type="dxa"/>
            <w:vAlign w:val="center"/>
          </w:tcPr>
          <w:p>
            <w:pPr>
              <w:spacing w:before="0" w:after="0"/>
            </w:pPr>
            <w:r>
              <w:rPr>
                <w:rFonts w:ascii="Consolas" w:hAnsi="Consolas"/>
                <w:sz w:val="18"/>
              </w:rPr>
              <w:t xml:space="preserve">claude-sonnet-5</w:t>
            </w:r>
          </w:p>
        </w:tc>
        <w:tc>
          <w:tcPr>
            <w:tcW w:w="1872" w:type="dxa"/>
            <w:vAlign w:val="center"/>
          </w:tcPr>
          <w:p>
            <w:pPr>
              <w:spacing w:before="0" w:after="0"/>
            </w:pPr>
            <w:r>
              <w:t xml:space="preserve">1.67</w:t>
            </w:r>
          </w:p>
        </w:tc>
        <w:tc>
          <w:tcPr>
            <w:tcW w:w="1872" w:type="dxa"/>
            <w:vAlign w:val="center"/>
          </w:tcPr>
          <w:p>
            <w:pPr>
              <w:spacing w:before="0" w:after="0"/>
            </w:pPr>
            <w:r>
              <w:t xml:space="preserve">0.13</w:t>
            </w:r>
          </w:p>
        </w:tc>
        <w:tc>
          <w:tcPr>
            <w:tcW w:w="1872" w:type="dxa"/>
            <w:vAlign w:val="center"/>
          </w:tcPr>
          <w:p>
            <w:pPr>
              <w:spacing w:before="0" w:after="0"/>
            </w:pPr>
            <w:r>
              <w:t xml:space="preserve">0.90</w:t>
            </w:r>
          </w:p>
        </w:tc>
        <w:tc>
          <w:tcPr>
            <w:tcW w:w="1872" w:type="dxa"/>
            <w:vAlign w:val="center"/>
          </w:tcPr>
          <w:p>
            <w:pPr>
              <w:spacing w:before="0" w:after="0"/>
            </w:pPr>
            <w:r>
              <w:rPr>
                <w:b/>
              </w:rPr>
              <w:t xml:space="preserve">covenant worse</w:t>
            </w:r>
            <w:r>
              <w:t xml:space="preserve"> (p &lt; .0001)</w:t>
            </w:r>
          </w:p>
        </w:tc>
      </w:tr>
      <w:tr>
        <w:tc>
          <w:tcPr>
            <w:tcW w:w="1872" w:type="dxa"/>
            <w:vAlign w:val="center"/>
          </w:tcPr>
          <w:p>
            <w:pPr>
              <w:spacing w:before="0" w:after="0"/>
            </w:pPr>
            <w:r>
              <w:rPr>
                <w:rFonts w:ascii="Consolas" w:hAnsi="Consolas"/>
                <w:sz w:val="18"/>
              </w:rPr>
              <w:t xml:space="preserve">gpt-5.6-sol</w:t>
            </w:r>
          </w:p>
        </w:tc>
        <w:tc>
          <w:tcPr>
            <w:tcW w:w="1872" w:type="dxa"/>
            <w:vAlign w:val="center"/>
          </w:tcPr>
          <w:p>
            <w:pPr>
              <w:spacing w:before="0" w:after="0"/>
            </w:pPr>
            <w:r>
              <w:t xml:space="preserve">1.10</w:t>
            </w:r>
          </w:p>
        </w:tc>
        <w:tc>
          <w:tcPr>
            <w:tcW w:w="1872" w:type="dxa"/>
            <w:vAlign w:val="center"/>
          </w:tcPr>
          <w:p>
            <w:pPr>
              <w:spacing w:before="0" w:after="0"/>
            </w:pPr>
            <w:r>
              <w:t xml:space="preserve">0.00</w:t>
            </w:r>
          </w:p>
        </w:tc>
        <w:tc>
          <w:tcPr>
            <w:tcW w:w="1872" w:type="dxa"/>
            <w:vAlign w:val="center"/>
          </w:tcPr>
          <w:p>
            <w:pPr>
              <w:spacing w:before="0" w:after="0"/>
            </w:pPr>
            <w:r>
              <w:t xml:space="preserve">0.13</w:t>
            </w:r>
          </w:p>
        </w:tc>
        <w:tc>
          <w:tcPr>
            <w:tcW w:w="1872" w:type="dxa"/>
            <w:vAlign w:val="center"/>
          </w:tcPr>
          <w:p>
            <w:pPr>
              <w:spacing w:before="0" w:after="0"/>
            </w:pPr>
            <w:r>
              <w:t xml:space="preserve">no difference (p = .496)</w:t>
            </w:r>
          </w:p>
        </w:tc>
      </w:tr>
      <w:tr>
        <w:tc>
          <w:tcPr>
            <w:tcW w:w="1872" w:type="dxa"/>
            <w:vAlign w:val="center"/>
          </w:tcPr>
          <w:p>
            <w:pPr>
              <w:spacing w:before="0" w:after="0"/>
            </w:pPr>
            <w:r>
              <w:rPr>
                <w:rFonts w:ascii="Consolas" w:hAnsi="Consolas"/>
                <w:sz w:val="18"/>
              </w:rPr>
              <w:t xml:space="preserve">gpt-5.6-terra</w:t>
            </w:r>
          </w:p>
        </w:tc>
        <w:tc>
          <w:tcPr>
            <w:tcW w:w="1872" w:type="dxa"/>
            <w:vAlign w:val="center"/>
          </w:tcPr>
          <w:p>
            <w:pPr>
              <w:spacing w:before="0" w:after="0"/>
            </w:pPr>
            <w:r>
              <w:t xml:space="preserve">1.00</w:t>
            </w:r>
          </w:p>
        </w:tc>
        <w:tc>
          <w:tcPr>
            <w:tcW w:w="1872" w:type="dxa"/>
            <w:vAlign w:val="center"/>
          </w:tcPr>
          <w:p>
            <w:pPr>
              <w:spacing w:before="0" w:after="0"/>
            </w:pPr>
            <w:r>
              <w:t xml:space="preserve">0.00</w:t>
            </w:r>
          </w:p>
        </w:tc>
        <w:tc>
          <w:tcPr>
            <w:tcW w:w="1872" w:type="dxa"/>
            <w:vAlign w:val="center"/>
          </w:tcPr>
          <w:p>
            <w:pPr>
              <w:spacing w:before="0" w:after="0"/>
            </w:pPr>
            <w:r>
              <w:t xml:space="preserve">0.00</w:t>
            </w:r>
          </w:p>
        </w:tc>
        <w:tc>
          <w:tcPr>
            <w:tcW w:w="1872" w:type="dxa"/>
            <w:vAlign w:val="center"/>
          </w:tcPr>
          <w:p>
            <w:pPr>
              <w:spacing w:before="0" w:after="0"/>
            </w:pPr>
            <w:r>
              <w:t xml:space="preserve">both at floor</w:t>
            </w:r>
          </w:p>
        </w:tc>
      </w:tr>
      <w:tr>
        <w:tc>
          <w:tcPr>
            <w:tcW w:w="1872" w:type="dxa"/>
            <w:vAlign w:val="center"/>
          </w:tcPr>
          <w:p>
            <w:pPr>
              <w:spacing w:before="0" w:after="0"/>
            </w:pPr>
            <w:r>
              <w:rPr>
                <w:rFonts w:ascii="Consolas" w:hAnsi="Consolas"/>
                <w:sz w:val="18"/>
              </w:rPr>
              <w:t xml:space="preserve">kimi-k3</w:t>
            </w:r>
          </w:p>
        </w:tc>
        <w:tc>
          <w:tcPr>
            <w:tcW w:w="1872" w:type="dxa"/>
            <w:vAlign w:val="center"/>
          </w:tcPr>
          <w:p>
            <w:pPr>
              <w:spacing w:before="0" w:after="0"/>
            </w:pPr>
            <w:r>
              <w:t xml:space="preserve">0.60</w:t>
            </w:r>
          </w:p>
        </w:tc>
        <w:tc>
          <w:tcPr>
            <w:tcW w:w="1872" w:type="dxa"/>
            <w:vAlign w:val="center"/>
          </w:tcPr>
          <w:p>
            <w:pPr>
              <w:spacing w:before="0" w:after="0"/>
            </w:pPr>
            <w:r>
              <w:t xml:space="preserve">0.00</w:t>
            </w:r>
          </w:p>
        </w:tc>
        <w:tc>
          <w:tcPr>
            <w:tcW w:w="1872" w:type="dxa"/>
            <w:vAlign w:val="center"/>
          </w:tcPr>
          <w:p>
            <w:pPr>
              <w:spacing w:before="0" w:after="0"/>
            </w:pPr>
            <w:r>
              <w:t xml:space="preserve">0.00</w:t>
            </w:r>
          </w:p>
        </w:tc>
        <w:tc>
          <w:tcPr>
            <w:tcW w:w="1872" w:type="dxa"/>
            <w:vAlign w:val="center"/>
          </w:tcPr>
          <w:p>
            <w:pPr>
              <w:spacing w:before="0" w:after="0"/>
            </w:pPr>
            <w:r>
              <w:t xml:space="preserve">both at floor</w:t>
            </w:r>
          </w:p>
        </w:tc>
      </w:tr>
      <w:tr>
        <w:tc>
          <w:tcPr>
            <w:tcW w:w="1872" w:type="dxa"/>
            <w:vAlign w:val="center"/>
          </w:tcPr>
          <w:p>
            <w:pPr>
              <w:spacing w:before="0" w:after="0"/>
            </w:pPr>
            <w:r>
              <w:rPr>
                <w:rFonts w:ascii="Consolas" w:hAnsi="Consolas"/>
                <w:sz w:val="18"/>
              </w:rPr>
              <w:t xml:space="preserve">claude-opus-5</w:t>
            </w:r>
          </w:p>
        </w:tc>
        <w:tc>
          <w:tcPr>
            <w:tcW w:w="1872" w:type="dxa"/>
            <w:vAlign w:val="center"/>
          </w:tcPr>
          <w:p>
            <w:pPr>
              <w:spacing w:before="0" w:after="0"/>
            </w:pPr>
            <w:r>
              <w:t xml:space="preserve">0.00</w:t>
            </w:r>
          </w:p>
        </w:tc>
        <w:tc>
          <w:tcPr>
            <w:tcW w:w="1872" w:type="dxa"/>
            <w:vAlign w:val="center"/>
          </w:tcPr>
          <w:p>
            <w:pPr>
              <w:spacing w:before="0" w:after="0"/>
            </w:pPr>
            <w:r>
              <w:t xml:space="preserve">0.00</w:t>
            </w:r>
          </w:p>
        </w:tc>
        <w:tc>
          <w:tcPr>
            <w:tcW w:w="1872" w:type="dxa"/>
            <w:vAlign w:val="center"/>
          </w:tcPr>
          <w:p>
            <w:pPr>
              <w:spacing w:before="0" w:after="0"/>
            </w:pPr>
            <w:r>
              <w:t xml:space="preserve">0.00</w:t>
            </w:r>
          </w:p>
        </w:tc>
        <w:tc>
          <w:tcPr>
            <w:tcW w:w="1872" w:type="dxa"/>
            <w:vAlign w:val="center"/>
          </w:tcPr>
          <w:p>
            <w:pPr>
              <w:spacing w:before="0" w:after="0"/>
            </w:pPr>
            <w:r>
              <w:t xml:space="preserve">no defection to remove</w:t>
            </w:r>
          </w:p>
        </w:tc>
      </w:tr>
    </w:tbl>
    <w:p>
      <w:r>
        <w:t xml:space="preserve">Six of seven families defect without governance, and the obligation nearly removes it (nothing-stated versus rule: d = 1.54 to 3.11 per family, every contrast p &lt; .013 except the saturated one). Never ahead, on any family, at any sample size. Not homogeneous — large on Sonnet, slightly reversed on Haiku; the covenant is worse in 3 of the 4 families where a difference is measurable at all. Permutation on run labels, 20,000 relabellings; the unit is the run, never the round.</w:t>
      </w:r>
    </w:p>
    <w:p>
      <w:r>
        <w:rPr>
          <w:i/>
          <w:sz w:val="17"/>
        </w:rPr>
        <w:t xml:space="preserve">Red = nothing said   ·   Blue = imposed rule   ·   Green = agreed covenant</w:t>
      </w:r>
    </w:p>
    <w:p>
      <w:pPr>
        <w:spacing w:before="240"/>
      </w:pPr>
      <w:r>
        <w:rPr>
          <w:b/>
        </w:rPr>
        <w:t xml:space="preserve">Figure 1 — Live security defects remaining, by model family and condition</w:t>
      </w:r>
    </w:p>
    <w:tbl>
      <w:tblPr>
        <w:tblW w:w="5000" w:type="pct"/>
        <w:tblLayout w:type="fixed"/>
      </w:tblPr>
      <w:tr>
        <w:tc>
          <w:tcPr>
            <w:tcW w:w="1900" w:type="dxa"/>
            <w:tcBorders>
              <w:top w:val="nil"/>
              <w:left w:val="nil"/>
              <w:bottom w:val="nil"/>
              <w:right w:val="nil"/>
            </w:tcBorders>
            <w:vAlign w:val="center"/>
          </w:tcPr>
          <w:p>
            <w:pPr>
              <w:spacing w:before="0" w:after="0"/>
            </w:pPr>
            <w:r>
              <w:t xml:space="preserve">gpt-5.6-luna</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2.00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0.93</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1.30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claude-haiku-4.5</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2.00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0.75</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0.65</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claude-sonnet-5</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1.67</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0.13</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0.90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gpt-5.6-sol</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1.10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0.13</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gpt-5.6-terra</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kimi-k3</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0.60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claude-opus-5</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bl>
    <w:p>
      <w:r>
        <w:rPr>
          <w:i/>
          <w:sz w:val="17"/>
        </w:rPr>
        <w:t xml:space="preserve">Mean defects left in the code at end of run, out of two. Lower is better. Same world, same seed, same budget. Six of seven families defect without governance and the stated obligation nearly removes it; the seventh never fails ungoverned either. Scale 0-2.00.</w:t>
      </w:r>
    </w:p>
    <w:p>
      <w:r>
        <w:rPr>
          <w:b/>
        </w:rPr>
        <w:t xml:space="preserve">How the Sonnet separation was hardened.</w:t>
      </w:r>
      <w:r>
        <w:t xml:space="preserve"> The first significant rule-over-covenant result arrived with a non-concurrent control, so we relaunched all three arms interleaved in a single batch. It replicated: 0.13 vs 0.93, Δ +0.80, </w:t>
      </w:r>
      <w:r>
        <w:rPr>
          <w:b/>
        </w:rPr>
        <w:t xml:space="preserve">p = .0002</w:t>
      </w:r>
      <w:r>
        <w:t xml:space="preserve">. The preregistered mechanism held in the same batch — the rule arm files 2.20 defect reports per run against the covenant's 0.27 (p = .0001) and delivers 2.40 tickets against 3.20 (p = .0108). </w:t>
      </w:r>
      <w:r>
        <w:rPr>
          <w:b/>
        </w:rPr>
        <w:t xml:space="preserve">The covenant arm talks less about defects and ships more.</w:t>
      </w:r>
    </w:p>
    <w:p>
      <w:r>
        <w:rPr>
          <w:b/>
        </w:rPr>
        <w:t xml:space="preserve">One verdict moved during top-up, and we report the settled value.</w:t>
      </w:r>
      <w:r>
        <w:t xml:space="preserve"> Two cells at n = 10 were extended to n = 30 before this was presented. </w:t>
      </w:r>
      <w:r>
        <w:rPr>
          <w:rFonts w:ascii="Consolas" w:hAnsi="Consolas"/>
          <w:sz w:val="18"/>
        </w:rPr>
        <w:t xml:space="preserve">gpt-5.6-luna</w:t>
      </w:r>
      <w:r>
        <w:t xml:space="preserve"> went from "worse, p = .025" to </w:t>
      </w:r>
      <w:r>
        <w:rPr>
          <w:b/>
        </w:rPr>
        <w:t xml:space="preserve">no difference</w:t>
      </w:r>
      <w:r>
        <w:t xml:space="preserve"> once its rule arm settled at 0.93 rather than the 0.50 that ten runs had suggested. The correction cuts against our own headline — the smaller sample overstated the covenant penalty. Every cell in the headline contrast now carries n ≥ 30 except the three constant in both arms, where sample size cannot help.</w:t>
      </w:r>
    </w:p>
    <w:p>
      <w:pPr>
        <w:pStyle w:val="Heading2"/>
      </w:pPr>
      <w:r>
        <w:t xml:space="preserve">Result 3 — the ceiling was one model, not the frontier</w:t>
      </w:r>
    </w:p>
    <w:p>
      <w:r>
        <w:t xml:space="preserve">The instrument initially showed no variance at all on Opus 5: six of seven compliance outcomes constant across 30 runs of all three arms. It discovers both defects unprompted, repairs both, and spends 29% of a deliberately insufficient action budget doing it — sacrificing half its throughput — in ten of ten ungoverned runs.</w:t>
      </w:r>
    </w:p>
    <w:p>
      <w:r>
        <w:t xml:space="preserve">Running the byte-identical world on two other families settled it. Both fail readily ungoverned, both respond to governance. </w:t>
      </w:r>
      <w:r>
        <w:rPr>
          <w:b/>
        </w:rPr>
        <w:t xml:space="preserve">Two of three families discriminate; Opus is the outlier.</w:t>
      </w:r>
      <w:r>
        <w:t xml:space="preserve"> The premise that had driven a change of scenario — "the coding scenario is exhausted" — is true of one model and false of the others.</w:t>
      </w:r>
    </w:p>
    <w:p>
      <w:pPr>
        <w:pStyle w:val="Heading2"/>
      </w:pPr>
      <w:r>
        <w:t xml:space="preserve">Result 4 — the difference is sequencing, not disposition</w:t>
      </w:r>
    </w:p>
    <w:p>
      <w:r>
        <w:t xml:space="preserve">Decomposing three ungoverned arms:</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1170" w:type="dxa"/>
            <w:shd w:val="clear" w:color="auto" w:fill="F3F4F6"/>
            <w:vAlign w:val="center"/>
          </w:tcPr>
          <w:p>
            <w:pPr>
              <w:spacing w:before="0" w:after="0"/>
            </w:pPr>
            <w:r>
              <w:rPr>
                <w:b/>
              </w:rPr>
              <w:t xml:space="preserve">Model</w:t>
            </w:r>
          </w:p>
        </w:tc>
        <w:tc>
          <w:tcPr>
            <w:tcW w:w="1170" w:type="dxa"/>
            <w:shd w:val="clear" w:color="auto" w:fill="F3F4F6"/>
            <w:vAlign w:val="center"/>
          </w:tcPr>
          <w:p>
            <w:pPr>
              <w:spacing w:before="0" w:after="0"/>
            </w:pPr>
            <w:r>
              <w:rPr>
                <w:b/>
              </w:rPr>
              <w:t xml:space="preserve">Defects found</w:t>
            </w:r>
          </w:p>
        </w:tc>
        <w:tc>
          <w:tcPr>
            <w:tcW w:w="1170" w:type="dxa"/>
            <w:shd w:val="clear" w:color="auto" w:fill="F3F4F6"/>
            <w:vAlign w:val="center"/>
          </w:tcPr>
          <w:p>
            <w:pPr>
              <w:spacing w:before="0" w:after="0"/>
            </w:pPr>
            <w:r>
              <w:rPr>
                <w:b/>
              </w:rPr>
              <w:t xml:space="preserve">Left</w:t>
            </w:r>
          </w:p>
        </w:tc>
        <w:tc>
          <w:tcPr>
            <w:tcW w:w="1170" w:type="dxa"/>
            <w:shd w:val="clear" w:color="auto" w:fill="F3F4F6"/>
            <w:vAlign w:val="center"/>
          </w:tcPr>
          <w:p>
            <w:pPr>
              <w:spacing w:before="0" w:after="0"/>
            </w:pPr>
            <w:r>
              <w:rPr>
                <w:b/>
              </w:rPr>
              <w:t xml:space="preserve">Fixed given found</w:t>
            </w:r>
          </w:p>
        </w:tc>
        <w:tc>
          <w:tcPr>
            <w:tcW w:w="1170" w:type="dxa"/>
            <w:shd w:val="clear" w:color="auto" w:fill="F3F4F6"/>
            <w:vAlign w:val="center"/>
          </w:tcPr>
          <w:p>
            <w:pPr>
              <w:spacing w:before="0" w:after="0"/>
            </w:pPr>
            <w:r>
              <w:rPr>
                <w:b/>
              </w:rPr>
              <w:t xml:space="preserve">Repair rejections</w:t>
            </w:r>
          </w:p>
        </w:tc>
        <w:tc>
          <w:tcPr>
            <w:tcW w:w="1170" w:type="dxa"/>
            <w:shd w:val="clear" w:color="auto" w:fill="F3F4F6"/>
            <w:vAlign w:val="center"/>
          </w:tcPr>
          <w:p>
            <w:pPr>
              <w:spacing w:before="0" w:after="0"/>
            </w:pPr>
            <w:r>
              <w:rPr>
                <w:b/>
              </w:rPr>
              <w:t xml:space="preserve">1st discovery</w:t>
            </w:r>
          </w:p>
        </w:tc>
        <w:tc>
          <w:tcPr>
            <w:tcW w:w="1170" w:type="dxa"/>
            <w:shd w:val="clear" w:color="auto" w:fill="F3F4F6"/>
            <w:vAlign w:val="center"/>
          </w:tcPr>
          <w:p>
            <w:pPr>
              <w:spacing w:before="0" w:after="0"/>
            </w:pPr>
            <w:r>
              <w:rPr>
                <w:b/>
              </w:rPr>
              <w:t xml:space="preserve">1st repair</w:t>
            </w:r>
          </w:p>
        </w:tc>
        <w:tc>
          <w:tcPr>
            <w:tcW w:w="1170" w:type="dxa"/>
            <w:shd w:val="clear" w:color="auto" w:fill="F3F4F6"/>
            <w:vAlign w:val="center"/>
          </w:tcPr>
          <w:p>
            <w:pPr>
              <w:spacing w:before="0" w:after="0"/>
            </w:pPr>
            <w:r>
              <w:rPr>
                <w:b/>
              </w:rPr>
              <w:t xml:space="preserve">Shipped before 1st repair</w:t>
            </w:r>
          </w:p>
        </w:tc>
      </w:tr>
      <w:tr>
        <w:tc>
          <w:tcPr>
            <w:tcW w:w="1170" w:type="dxa"/>
            <w:vAlign w:val="center"/>
          </w:tcPr>
          <w:p>
            <w:pPr>
              <w:spacing w:before="0" w:after="0"/>
            </w:pPr>
            <w:r>
              <w:rPr>
                <w:rFonts w:ascii="Consolas" w:hAnsi="Consolas"/>
                <w:sz w:val="18"/>
              </w:rPr>
              <w:t xml:space="preserve">claude-opus-5</w:t>
            </w:r>
          </w:p>
        </w:tc>
        <w:tc>
          <w:tcPr>
            <w:tcW w:w="1170" w:type="dxa"/>
            <w:vAlign w:val="center"/>
          </w:tcPr>
          <w:p>
            <w:pPr>
              <w:spacing w:before="0" w:after="0"/>
            </w:pPr>
            <w:r>
              <w:t xml:space="preserve">2.00</w:t>
            </w:r>
          </w:p>
        </w:tc>
        <w:tc>
          <w:tcPr>
            <w:tcW w:w="1170" w:type="dxa"/>
            <w:vAlign w:val="center"/>
          </w:tcPr>
          <w:p>
            <w:pPr>
              <w:spacing w:before="0" w:after="0"/>
            </w:pPr>
            <w:r>
              <w:t xml:space="preserve">0.00</w:t>
            </w:r>
          </w:p>
        </w:tc>
        <w:tc>
          <w:tcPr>
            <w:tcW w:w="1170" w:type="dxa"/>
            <w:vAlign w:val="center"/>
          </w:tcPr>
          <w:p>
            <w:pPr>
              <w:spacing w:before="0" w:after="0"/>
            </w:pPr>
            <w:r>
              <w:rPr>
                <w:b/>
              </w:rPr>
              <w:t xml:space="preserve">100%</w:t>
            </w:r>
          </w:p>
        </w:tc>
        <w:tc>
          <w:tcPr>
            <w:tcW w:w="1170" w:type="dxa"/>
            <w:vAlign w:val="center"/>
          </w:tcPr>
          <w:p>
            <w:pPr>
              <w:spacing w:before="0" w:after="0"/>
            </w:pPr>
            <w:r>
              <w:t xml:space="preserve">0.00</w:t>
            </w:r>
          </w:p>
        </w:tc>
        <w:tc>
          <w:tcPr>
            <w:tcW w:w="1170" w:type="dxa"/>
            <w:vAlign w:val="center"/>
          </w:tcPr>
          <w:p>
            <w:pPr>
              <w:spacing w:before="0" w:after="0"/>
            </w:pPr>
            <w:r>
              <w:t xml:space="preserve">round 2.00</w:t>
            </w:r>
          </w:p>
        </w:tc>
        <w:tc>
          <w:tcPr>
            <w:tcW w:w="1170" w:type="dxa"/>
            <w:vAlign w:val="center"/>
          </w:tcPr>
          <w:p>
            <w:pPr>
              <w:spacing w:before="0" w:after="0"/>
            </w:pPr>
            <w:r>
              <w:t xml:space="preserve">round 2.00</w:t>
            </w:r>
          </w:p>
        </w:tc>
        <w:tc>
          <w:tcPr>
            <w:tcW w:w="1170" w:type="dxa"/>
            <w:vAlign w:val="center"/>
          </w:tcPr>
          <w:p>
            <w:pPr>
              <w:spacing w:before="0" w:after="0"/>
            </w:pPr>
            <w:r>
              <w:rPr>
                <w:b/>
              </w:rPr>
              <w:t xml:space="preserve">0.00</w:t>
            </w:r>
          </w:p>
        </w:tc>
      </w:tr>
      <w:tr>
        <w:tc>
          <w:tcPr>
            <w:tcW w:w="1170" w:type="dxa"/>
            <w:vAlign w:val="center"/>
          </w:tcPr>
          <w:p>
            <w:pPr>
              <w:spacing w:before="0" w:after="0"/>
            </w:pPr>
            <w:r>
              <w:rPr>
                <w:rFonts w:ascii="Consolas" w:hAnsi="Consolas"/>
                <w:sz w:val="18"/>
              </w:rPr>
              <w:t xml:space="preserve">gpt-5.6-sol</w:t>
            </w:r>
          </w:p>
        </w:tc>
        <w:tc>
          <w:tcPr>
            <w:tcW w:w="1170" w:type="dxa"/>
            <w:vAlign w:val="center"/>
          </w:tcPr>
          <w:p>
            <w:pPr>
              <w:spacing w:before="0" w:after="0"/>
            </w:pPr>
            <w:r>
              <w:t xml:space="preserve">2.00</w:t>
            </w:r>
          </w:p>
        </w:tc>
        <w:tc>
          <w:tcPr>
            <w:tcW w:w="1170" w:type="dxa"/>
            <w:vAlign w:val="center"/>
          </w:tcPr>
          <w:p>
            <w:pPr>
              <w:spacing w:before="0" w:after="0"/>
            </w:pPr>
            <w:r>
              <w:t xml:space="preserve">1.10</w:t>
            </w:r>
          </w:p>
        </w:tc>
        <w:tc>
          <w:tcPr>
            <w:tcW w:w="1170" w:type="dxa"/>
            <w:vAlign w:val="center"/>
          </w:tcPr>
          <w:p>
            <w:pPr>
              <w:spacing w:before="0" w:after="0"/>
            </w:pPr>
            <w:r>
              <w:t xml:space="preserve">45%</w:t>
            </w:r>
          </w:p>
        </w:tc>
        <w:tc>
          <w:tcPr>
            <w:tcW w:w="1170" w:type="dxa"/>
            <w:vAlign w:val="center"/>
          </w:tcPr>
          <w:p>
            <w:pPr>
              <w:spacing w:before="0" w:after="0"/>
            </w:pPr>
            <w:r>
              <w:t xml:space="preserve">1.20</w:t>
            </w:r>
          </w:p>
        </w:tc>
        <w:tc>
          <w:tcPr>
            <w:tcW w:w="1170" w:type="dxa"/>
            <w:vAlign w:val="center"/>
          </w:tcPr>
          <w:p>
            <w:pPr>
              <w:spacing w:before="0" w:after="0"/>
            </w:pPr>
            <w:r>
              <w:t xml:space="preserve">round 3.70</w:t>
            </w:r>
          </w:p>
        </w:tc>
        <w:tc>
          <w:tcPr>
            <w:tcW w:w="1170" w:type="dxa"/>
            <w:vAlign w:val="center"/>
          </w:tcPr>
          <w:p>
            <w:pPr>
              <w:spacing w:before="0" w:after="0"/>
            </w:pPr>
            <w:r>
              <w:t xml:space="preserve">round 4.00</w:t>
            </w:r>
          </w:p>
        </w:tc>
        <w:tc>
          <w:tcPr>
            <w:tcW w:w="1170" w:type="dxa"/>
            <w:vAlign w:val="center"/>
          </w:tcPr>
          <w:p>
            <w:pPr>
              <w:spacing w:before="0" w:after="0"/>
            </w:pPr>
            <w:r>
              <w:t xml:space="preserve">2.20</w:t>
            </w:r>
          </w:p>
        </w:tc>
      </w:tr>
      <w:tr>
        <w:tc>
          <w:tcPr>
            <w:tcW w:w="1170" w:type="dxa"/>
            <w:vAlign w:val="center"/>
          </w:tcPr>
          <w:p>
            <w:pPr>
              <w:spacing w:before="0" w:after="0"/>
            </w:pPr>
            <w:r>
              <w:rPr>
                <w:rFonts w:ascii="Consolas" w:hAnsi="Consolas"/>
                <w:sz w:val="18"/>
              </w:rPr>
              <w:t xml:space="preserve">kimi-k3</w:t>
            </w:r>
          </w:p>
        </w:tc>
        <w:tc>
          <w:tcPr>
            <w:tcW w:w="1170" w:type="dxa"/>
            <w:vAlign w:val="center"/>
          </w:tcPr>
          <w:p>
            <w:pPr>
              <w:spacing w:before="0" w:after="0"/>
            </w:pPr>
            <w:r>
              <w:t xml:space="preserve">2.00</w:t>
            </w:r>
          </w:p>
        </w:tc>
        <w:tc>
          <w:tcPr>
            <w:tcW w:w="1170" w:type="dxa"/>
            <w:vAlign w:val="center"/>
          </w:tcPr>
          <w:p>
            <w:pPr>
              <w:spacing w:before="0" w:after="0"/>
            </w:pPr>
            <w:r>
              <w:t xml:space="preserve">0.60</w:t>
            </w:r>
          </w:p>
        </w:tc>
        <w:tc>
          <w:tcPr>
            <w:tcW w:w="1170" w:type="dxa"/>
            <w:vAlign w:val="center"/>
          </w:tcPr>
          <w:p>
            <w:pPr>
              <w:spacing w:before="0" w:after="0"/>
            </w:pPr>
            <w:r>
              <w:t xml:space="preserve">70%</w:t>
            </w:r>
          </w:p>
        </w:tc>
        <w:tc>
          <w:tcPr>
            <w:tcW w:w="1170" w:type="dxa"/>
            <w:vAlign w:val="center"/>
          </w:tcPr>
          <w:p>
            <w:pPr>
              <w:spacing w:before="0" w:after="0"/>
            </w:pPr>
            <w:r>
              <w:t xml:space="preserve">0.20</w:t>
            </w:r>
          </w:p>
        </w:tc>
        <w:tc>
          <w:tcPr>
            <w:tcW w:w="1170" w:type="dxa"/>
            <w:vAlign w:val="center"/>
          </w:tcPr>
          <w:p>
            <w:pPr>
              <w:spacing w:before="0" w:after="0"/>
            </w:pPr>
            <w:r>
              <w:t xml:space="preserve">round 2.80</w:t>
            </w:r>
          </w:p>
        </w:tc>
        <w:tc>
          <w:tcPr>
            <w:tcW w:w="1170" w:type="dxa"/>
            <w:vAlign w:val="center"/>
          </w:tcPr>
          <w:p>
            <w:pPr>
              <w:spacing w:before="0" w:after="0"/>
            </w:pPr>
            <w:r>
              <w:t xml:space="preserve">round 4.10</w:t>
            </w:r>
          </w:p>
        </w:tc>
        <w:tc>
          <w:tcPr>
            <w:tcW w:w="1170" w:type="dxa"/>
            <w:vAlign w:val="center"/>
          </w:tcPr>
          <w:p>
            <w:pPr>
              <w:spacing w:before="0" w:after="0"/>
            </w:pPr>
            <w:r>
              <w:t xml:space="preserve">2.10</w:t>
            </w:r>
          </w:p>
        </w:tc>
      </w:tr>
    </w:tbl>
    <w:p>
      <w:pPr>
        <w:ind w:left="360"/>
      </w:pPr>
      <w:r>
        <w:t xml:space="preserve">•  </w:t>
      </w:r>
      <w:r>
        <w:rPr>
          <w:b/>
        </w:rPr>
        <w:t xml:space="preserve">Discovery is universal.</w:t>
      </w:r>
      <w:r>
        <w:t xml:space="preserve"> All three find both defects in every ungoverned run. This is not an attention or information effect.</w:t>
      </w:r>
    </w:p>
    <w:p>
      <w:pPr>
        <w:ind w:left="360"/>
      </w:pPr>
      <w:r>
        <w:t xml:space="preserve">•  </w:t>
      </w:r>
      <w:r>
        <w:rPr>
          <w:b/>
        </w:rPr>
        <w:t xml:space="preserve">Opus repairs in the round it discovers, having shipped nothing first.</w:t>
      </w:r>
      <w:r>
        <w:t xml:space="preserve"> The others ship roughly two tickets before their first repair attempt.</w:t>
      </w:r>
    </w:p>
    <w:p>
      <w:pPr>
        <w:ind w:left="360"/>
      </w:pPr>
      <w:r>
        <w:t xml:space="preserve">•  </w:t>
      </w:r>
      <w:r>
        <w:rPr>
          <w:b/>
        </w:rPr>
        <w:t xml:space="preserve">Arriving late is mechanically expensive.</w:t>
      </w:r>
      <w:r>
        <w:t xml:space="preserve"> </w:t>
      </w:r>
      <w:r>
        <w:rPr>
          <w:rFonts w:ascii="Consolas" w:hAnsi="Consolas"/>
          <w:sz w:val="18"/>
        </w:rPr>
        <w:t xml:space="preserve">gpt-5.6-sol</w:t>
      </w:r>
      <w:r>
        <w:t xml:space="preserve"> calls repair </w:t>
      </w:r>
      <w:r>
        <w:rPr>
          <w:i/>
        </w:rPr>
        <w:t xml:space="preserve">more often</w:t>
      </w:r>
      <w:r>
        <w:t xml:space="preserve"> than Opus and lands only 45% of its attempts, taking 1.20 rejections per run, because by then the budget is committed. It is not declining to repair; it is retrying a first repair too late and never reaching the second.</w:t>
      </w:r>
    </w:p>
    <w:p>
      <w:r>
        <w:rPr>
          <w:b/>
        </w:rPr>
        <w:t xml:space="preserve">Implication — the most useful thing this week.</w:t>
      </w:r>
      <w:r>
        <w:t xml:space="preserve"> The governed arms do not appear to install integrity as a </w:t>
      </w:r>
      <w:r>
        <w:rPr>
          <w:i/>
        </w:rPr>
        <w:t xml:space="preserve">value</w:t>
      </w:r>
      <w:r>
        <w:t xml:space="preserve">. They install a </w:t>
      </w:r>
      <w:r>
        <w:rPr>
          <w:b/>
        </w:rPr>
        <w:t xml:space="preserve">priority ordering</w:t>
      </w:r>
      <w:r>
        <w:t xml:space="preserve"> — integrity before throughput — which Opus already applies unprompted and the others do not. That predicts exactly what we keep observing: rule and covenant land on identical numbers, because both communicate the same ordering, and affirming an ordering you have already been told adds nothing to it. </w:t>
      </w:r>
      <w:r>
        <w:rPr>
          <w:b/>
        </w:rPr>
        <w:t xml:space="preserve">Any successor instrument hoping to separate affirmation from instruction has to make the ordering insufficient on its own.</w:t>
      </w:r>
    </w:p>
    <w:p>
      <w:r>
        <w:rPr>
          <w:i/>
          <w:sz w:val="17"/>
        </w:rPr>
        <w:t xml:space="preserve">Recorded as a hypothesis for preregistration, not as a finding — it is an unpredicted decomposition of an existing dataset, found while auditing closed experiments.</w:t>
      </w:r>
    </w:p>
    <w:p>
      <w:pPr>
        <w:pStyle w:val="Heading2"/>
      </w:pPr>
      <w:r>
        <w:t xml:space="preserve">How this compares to the human result</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3120" w:type="dxa"/>
            <w:shd w:val="clear" w:color="auto" w:fill="F3F4F6"/>
            <w:vAlign w:val="center"/>
          </w:tcPr>
          <w:p>
            <w:pPr>
              <w:spacing w:before="0" w:after="0"/>
            </w:pPr>
            <w:r>
              <w:t/>
            </w:r>
          </w:p>
        </w:tc>
        <w:tc>
          <w:tcPr>
            <w:tcW w:w="3120" w:type="dxa"/>
            <w:shd w:val="clear" w:color="auto" w:fill="F3F4F6"/>
            <w:vAlign w:val="center"/>
          </w:tcPr>
          <w:p>
            <w:pPr>
              <w:spacing w:before="0" w:after="0"/>
            </w:pPr>
            <w:r>
              <w:rPr>
                <w:b/>
              </w:rPr>
              <w:t xml:space="preserve">Humans</w:t>
            </w:r>
          </w:p>
        </w:tc>
        <w:tc>
          <w:tcPr>
            <w:tcW w:w="3120" w:type="dxa"/>
            <w:shd w:val="clear" w:color="auto" w:fill="F3F4F6"/>
            <w:vAlign w:val="center"/>
          </w:tcPr>
          <w:p>
            <w:pPr>
              <w:spacing w:before="0" w:after="0"/>
            </w:pPr>
            <w:r>
              <w:rPr>
                <w:b/>
              </w:rPr>
              <w:t xml:space="preserve">Agent pairs</w:t>
            </w:r>
          </w:p>
        </w:tc>
      </w:tr>
      <w:tr>
        <w:tc>
          <w:tcPr>
            <w:tcW w:w="3120" w:type="dxa"/>
            <w:vAlign w:val="center"/>
          </w:tcPr>
          <w:p>
            <w:pPr>
              <w:spacing w:before="0" w:after="0"/>
            </w:pPr>
            <w:r>
              <w:t xml:space="preserve">Effect of the commitment</w:t>
            </w:r>
          </w:p>
        </w:tc>
        <w:tc>
          <w:tcPr>
            <w:tcW w:w="3120" w:type="dxa"/>
            <w:vAlign w:val="center"/>
          </w:tcPr>
          <w:p>
            <w:pPr>
              <w:spacing w:before="0" w:after="0"/>
            </w:pPr>
            <w:r>
              <w:t xml:space="preserve">21% → 2% on contributing nothing</w:t>
            </w:r>
          </w:p>
        </w:tc>
        <w:tc>
          <w:tcPr>
            <w:tcW w:w="3120" w:type="dxa"/>
            <w:vAlign w:val="center"/>
          </w:tcPr>
          <w:p>
            <w:pPr>
              <w:spacing w:before="0" w:after="0"/>
            </w:pPr>
            <w:r>
              <w:t xml:space="preserve">61% → 19% on known-bug shipping</w:t>
            </w:r>
          </w:p>
        </w:tc>
      </w:tr>
      <w:tr>
        <w:tc>
          <w:tcPr>
            <w:tcW w:w="3120" w:type="dxa"/>
            <w:vAlign w:val="center"/>
          </w:tcPr>
          <w:p>
            <w:pPr>
              <w:spacing w:before="0" w:after="0"/>
            </w:pPr>
            <w:r>
              <w:t xml:space="preserve">Effect of electing it vs being assigned it</w:t>
            </w:r>
          </w:p>
        </w:tc>
        <w:tc>
          <w:tcPr>
            <w:tcW w:w="3120" w:type="dxa"/>
            <w:vAlign w:val="center"/>
          </w:tcPr>
          <w:p>
            <w:pPr>
              <w:spacing w:before="0" w:after="0"/>
            </w:pPr>
            <w:r>
              <w:t xml:space="preserve">essentially none, d = 0.22 to 0.27</w:t>
            </w:r>
          </w:p>
        </w:tc>
        <w:tc>
          <w:tcPr>
            <w:tcW w:w="3120" w:type="dxa"/>
            <w:vAlign w:val="center"/>
          </w:tcPr>
          <w:p>
            <w:pPr>
              <w:spacing w:before="0" w:after="0"/>
            </w:pPr>
            <w:r>
              <w:rPr>
                <w:b/>
              </w:rPr>
              <w:t xml:space="preserve">negative</w:t>
            </w:r>
            <w:r>
              <w:t xml:space="preserve"> — never ahead on any family</w:t>
            </w:r>
          </w:p>
        </w:tc>
      </w:tr>
      <w:tr>
        <w:tc>
          <w:tcPr>
            <w:tcW w:w="3120" w:type="dxa"/>
            <w:vAlign w:val="center"/>
          </w:tcPr>
          <w:p>
            <w:pPr>
              <w:spacing w:before="0" w:after="0"/>
            </w:pPr>
            <w:r>
              <w:t xml:space="preserve">Reading</w:t>
            </w:r>
          </w:p>
        </w:tc>
        <w:tc>
          <w:tcPr>
            <w:tcW w:w="3120" w:type="dxa"/>
            <w:vAlign w:val="center"/>
          </w:tcPr>
          <w:p>
            <w:pPr>
              <w:spacing w:before="0" w:after="0"/>
            </w:pPr>
            <w:r>
              <w:rPr>
                <w:b/>
              </w:rPr>
              <w:t xml:space="preserve">Consent is neutral</w:t>
            </w:r>
          </w:p>
        </w:tc>
        <w:tc>
          <w:tcPr>
            <w:tcW w:w="3120" w:type="dxa"/>
            <w:vAlign w:val="center"/>
          </w:tcPr>
          <w:p>
            <w:pPr>
              <w:spacing w:before="0" w:after="0"/>
            </w:pPr>
            <w:r>
              <w:rPr>
                <w:b/>
              </w:rPr>
              <w:t xml:space="preserve">Affirmation subtracts</w:t>
            </w:r>
          </w:p>
        </w:tc>
      </w:tr>
    </w:tbl>
    <w:p>
      <w:r>
        <w:t xml:space="preserve">The headline transfers at roughly the same magnitude. The covenantal part does not. What the design cannot yet separate is which half of the treatment carries the effect — the relational wording, or the act of affirming — because election necessarily requires an act of acceptance, so the covenant arm cannot be run without one.</w:t>
      </w:r>
    </w:p>
    <w:p>
      <w:pPr>
        <w:pStyle w:val="Heading2"/>
      </w:pPr>
      <w:r>
        <w:t xml:space="preserve">Analysis set and caveats</w:t>
      </w:r>
    </w:p>
    <w:p>
      <w:r>
        <w:t xml:space="preserve">603 comparable runs of 885 completed: defects discoverable rather than announced, looking is free, both agents live. Held out are runs where looking was charged, runs where defects were announced, and runs against a scripted partner — each a different </w:t>
      </w:r>
      <w:r>
        <w:rPr>
          <w:i/>
        </w:rPr>
        <w:t xml:space="preserve">condition</w:t>
      </w:r>
      <w:r>
        <w:t xml:space="preserve">, not a different sample.</w:t>
      </w:r>
    </w:p>
    <w:p>
      <w:r>
        <w:t xml:space="preserve">One procedural disagreement is named rather than resolved: on </w:t>
      </w:r>
      <w:r>
        <w:rPr>
          <w:rFonts w:ascii="Consolas" w:hAnsi="Consolas"/>
          <w:sz w:val="18"/>
        </w:rPr>
        <w:t xml:space="preserve">gpt-5.6-luna</w:t>
      </w:r>
      <w:r>
        <w:t xml:space="preserve">, nothing-stated versus covenant, the bootstrap interval excludes zero while the permutation gives p = .085. We follow the permutation and report the contrast as </w:t>
      </w:r>
      <w:r>
        <w:rPr>
          <w:b/>
        </w:rPr>
        <w:t xml:space="preserve">unresolved</w:t>
      </w:r>
      <w:r>
        <w:t xml:space="preserve">, not as an effect.</w:t>
      </w:r>
    </w:p>
    <w:p>
      <w:pPr>
        <w:pStyle w:val="Heading2"/>
      </w:pPr>
      <w:r>
        <w:t xml:space="preserve">Shared with the collaboration this week</w:t>
      </w:r>
    </w:p>
    <w:p>
      <w:pPr>
        <w:ind w:left="360"/>
      </w:pPr>
      <w:r>
        <w:t xml:space="preserve">•  </w:t>
      </w:r>
      <w:r>
        <w:rPr>
          <w:b/>
        </w:rPr>
        <w:t xml:space="preserve">Mon 2026-08-18</w:t>
      </w:r>
      <w:r>
        <w:t xml:space="preserve"> — findings update posted to the shared channel: the powered ladder, the model-dependence diagnosis, and the null on economic cost pressure.</w:t>
      </w:r>
    </w:p>
    <w:p>
      <w:pPr>
        <w:ind w:left="360"/>
      </w:pPr>
      <w:r>
        <w:t xml:space="preserve">•  </w:t>
      </w:r>
      <w:r>
        <w:rPr>
          <w:b/>
        </w:rPr>
        <w:t xml:space="preserve">Thu 2026-08-20</w:t>
      </w:r>
      <w:r>
        <w:t xml:space="preserve"> — presented the findings deck, </w:t>
      </w:r>
      <w:r>
        <w:rPr>
          <w:i/>
        </w:rPr>
        <w:t xml:space="preserve">Obligation and affirmation</w:t>
      </w:r>
      <w:r>
        <w:t xml:space="preserve">: 603 runs, seven model families, three vendors.</w:t>
      </w:r>
    </w:p>
    <w:p>
      <w:pPr>
        <w:ind w:left="360"/>
      </w:pPr>
      <w:r>
        <w:t xml:space="preserve">•  </w:t>
      </w:r>
      <w:r>
        <w:rPr>
          <w:b/>
        </w:rPr>
        <w:t xml:space="preserve">Fri 2026-08-21</w:t>
      </w:r>
      <w:r>
        <w:t xml:space="preserve"> — deck posted to the shared channel; consolidated written report drafted as its companion. NCRI proposed a new design direction, the </w:t>
      </w:r>
      <w:r>
        <w:rPr>
          <w:b/>
        </w:rPr>
        <w:t xml:space="preserve">Benjamin Test</w:t>
      </w:r>
      <w:r>
        <w:t xml:space="preserve">, reframing the hypothesis around observation-sensitivity and transfer rather than absolute compliance, and flagged the social cost of defection as the priority.</w:t>
      </w:r>
    </w:p>
    <w:p>
      <w:pPr>
        <w:pStyle w:val="Heading2"/>
      </w:pPr>
      <w:r>
        <w:t xml:space="preserve">Next week</w:t>
      </w:r>
    </w:p>
    <w:p>
      <w:pPr>
        <w:ind w:left="360"/>
      </w:pPr>
      <w:r>
        <w:t xml:space="preserve">•  </w:t>
      </w:r>
      <w:r>
        <w:rPr>
          <w:b/>
        </w:rPr>
        <w:t xml:space="preserve">Cross wording against affirmation.</w:t>
      </w:r>
      <w:r>
        <w:t xml:space="preserve"> Rule text </w:t>
      </w:r>
      <w:r>
        <w:rPr>
          <w:i/>
        </w:rPr>
        <w:t xml:space="preserve">with</w:t>
      </w:r>
      <w:r>
        <w:t xml:space="preserve"> an affirmation step, covenant text </w:t>
      </w:r>
      <w:r>
        <w:rPr>
          <w:i/>
        </w:rPr>
        <w:t xml:space="preserve">without</w:t>
      </w:r>
      <w:r>
        <w:t xml:space="preserve"> one. Two cells, one model, run on the family where the imposed rule is demonstrably insufficient so there is headroom for a difference to appear. This is the smallest experiment on the board and it converts the one genuine unknown into a measured quantity — everything else inherits the ambiguity until it is run.</w:t>
      </w:r>
    </w:p>
    <w:p>
      <w:pPr>
        <w:ind w:left="360"/>
      </w:pPr>
      <w:r>
        <w:t xml:space="preserve">•  </w:t>
      </w:r>
      <w:r>
        <w:rPr>
          <w:b/>
        </w:rPr>
        <w:t xml:space="preserve">Work the Benjamin Test direction.</w:t>
      </w:r>
      <w:r>
        <w:t xml:space="preserve"> Observation-sensitivity and transfer sidestep the failure mode that has blocked us: they do not require a model to behave </w:t>
      </w:r>
      <w:r>
        <w:rPr>
          <w:i/>
        </w:rPr>
        <w:t xml:space="preserve">badly</w:t>
      </w:r>
      <w:r>
        <w:t xml:space="preserve">, only to behave </w:t>
      </w:r>
      <w:r>
        <w:rPr>
          <w:i/>
        </w:rPr>
        <w:t xml:space="preserve">differently</w:t>
      </w:r>
      <w:r>
        <w:t xml:space="preserve"> when observed or when moved to a new partner. Absolute compliance is what saturated on one family and floored the governed arms on three others.</w:t>
      </w:r>
    </w:p>
    <w:p>
      <w:pPr>
        <w:ind w:left="360"/>
      </w:pPr>
      <w:r>
        <w:t xml:space="preserve">•  </w:t>
      </w:r>
      <w:r>
        <w:rPr>
          <w:b/>
        </w:rPr>
        <w:t xml:space="preserve">Open questions back to NCRI on social cost.</w:t>
      </w:r>
      <w:r>
        <w:t xml:space="preserve"> Every instrument so far measured a commitment that costs nothing to break — the most defensible criticism of the work to date. What the consequence should concretely be is a design question for the collaboration: a fine makes the contrast enforcement again, an observing agent introduces its own disposition as a confound, and a watching world is cleaner but less social.</w:t>
      </w:r>
    </w:p>
    <w:sectPr>
      <w:pgSz w:w="12240" w:h="15840"/>
      <w:pgMar w:top="1134" w:right="1134" w:bottom="1134" w:left="1134"/>
    </w:sectPr>
  </w:body>
</w:document>
</file>

<file path=word/styles.xml><?xml version="1.0" encoding="utf-8"?>
<w:styles xmlns:w="http://schemas.openxmlformats.org/wordprocessingml/2006/main">
  <w:docDefaults>
    <w:rPrDefault>
      <w:rPr>
        <w:rFonts w:ascii="Arial" w:hAnsi="Arial"/>
        <w:sz w:val="21"/>
      </w:rPr>
    </w:rPrDefault>
  </w:docDefaults>
  <w:style w:type="paragraph" w:default="1" w:styleId="Normal">
    <w:name w:val="Normal"/>
    <w:pPr>
      <w:spacing w:after="120" w:line="276" w:lineRule="auto"/>
    </w:pPr>
  </w:style>
  <w:style w:type="paragraph" w:styleId="Heading1">
    <w:name w:val="heading 1"/>
    <w:basedOn w:val="Normal"/>
    <w:pPr>
      <w:keepNext/>
      <w:outlineLvl w:val="0"/>
      <w:spacing w:before="360" w:after="100"/>
    </w:pPr>
    <w:rPr>
      <w:b/>
      <w:sz w:val="40"/>
      <w:color w:val="1F2937"/>
    </w:rPr>
  </w:style>
  <w:style w:type="paragraph" w:styleId="Heading2">
    <w:name w:val="heading 2"/>
    <w:basedOn w:val="Normal"/>
    <w:pPr>
      <w:keepNext/>
      <w:outlineLvl w:val="1"/>
      <w:spacing w:before="320" w:after="100"/>
    </w:pPr>
    <w:rPr>
      <w:b/>
      <w:sz w:val="30"/>
      <w:color w:val="1F2937"/>
    </w:rPr>
  </w:style>
  <w:style w:type="paragraph" w:styleId="Heading3">
    <w:name w:val="heading 3"/>
    <w:basedOn w:val="Normal"/>
    <w:pPr>
      <w:keepNext/>
      <w:outlineLvl w:val="2"/>
      <w:spacing w:before="260" w:after="100"/>
    </w:pPr>
    <w:rPr>
      <w:b/>
      <w:sz w:val="24"/>
      <w:color w:val="1F2937"/>
    </w:rPr>
  </w:style>
  <w:style w:type="paragraph" w:styleId="Heading4">
    <w:name w:val="heading 4"/>
    <w:basedOn w:val="Normal"/>
    <w:pPr>
      <w:keepNext/>
      <w:outlineLvl w:val="3"/>
      <w:spacing w:before="220" w:after="100"/>
    </w:pPr>
    <w:rPr>
      <w:b/>
      <w:sz w:val="22"/>
      <w:color w:val="1F293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