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7E" w:rsidRPr="008A55E3" w:rsidRDefault="00AB0B9C">
      <w:pPr>
        <w:spacing w:after="0" w:line="360" w:lineRule="auto"/>
        <w:rPr>
          <w:rFonts w:ascii="Arial" w:eastAsia="Times New Roman" w:hAnsi="Arial" w:cs="Arial"/>
          <w:b/>
          <w:bCs/>
          <w:lang w:eastAsia="en-US"/>
        </w:rPr>
      </w:pPr>
      <w:r w:rsidRPr="008A55E3">
        <w:rPr>
          <w:rFonts w:ascii="Arial" w:eastAsia="Times New Roman" w:hAnsi="Arial" w:cs="Arial"/>
          <w:b/>
          <w:bCs/>
          <w:lang w:eastAsia="en-US"/>
        </w:rPr>
        <w:t>ANEXO A</w:t>
      </w:r>
    </w:p>
    <w:p w:rsidR="00502C7E" w:rsidRPr="008A55E3" w:rsidRDefault="00AB0B9C">
      <w:pPr>
        <w:spacing w:after="0" w:line="360" w:lineRule="auto"/>
        <w:rPr>
          <w:rFonts w:ascii="Arial" w:eastAsia="Times New Roman" w:hAnsi="Arial" w:cs="Arial"/>
          <w:b/>
          <w:bCs/>
          <w:lang w:eastAsia="en-US"/>
        </w:rPr>
      </w:pPr>
      <w:r w:rsidRPr="008A55E3">
        <w:rPr>
          <w:rFonts w:ascii="Arial" w:eastAsia="Times New Roman" w:hAnsi="Arial" w:cs="Arial"/>
          <w:b/>
          <w:bCs/>
          <w:lang w:eastAsia="en-US"/>
        </w:rPr>
        <w:t>Paraguay</w:t>
      </w:r>
    </w:p>
    <w:p w:rsidR="00502C7E" w:rsidRPr="008A55E3" w:rsidRDefault="00502C7E">
      <w:pPr>
        <w:spacing w:after="0" w:line="360" w:lineRule="auto"/>
        <w:rPr>
          <w:rFonts w:ascii="Arial" w:eastAsia="Times New Roman" w:hAnsi="Arial" w:cs="Arial"/>
          <w:b/>
          <w:bCs/>
          <w:lang w:eastAsia="en-US"/>
        </w:rPr>
      </w:pPr>
    </w:p>
    <w:p w:rsidR="00502C7E" w:rsidRPr="008A55E3" w:rsidRDefault="00AB0B9C">
      <w:pPr>
        <w:spacing w:after="0" w:line="360" w:lineRule="auto"/>
        <w:rPr>
          <w:rFonts w:ascii="Arial" w:eastAsia="Times New Roman" w:hAnsi="Arial" w:cs="Arial"/>
          <w:b/>
          <w:bCs/>
          <w:lang w:eastAsia="en-US"/>
        </w:rPr>
      </w:pPr>
      <w:r w:rsidRPr="008A55E3">
        <w:rPr>
          <w:rFonts w:ascii="Arial" w:eastAsia="Times New Roman" w:hAnsi="Arial" w:cs="Arial"/>
          <w:b/>
          <w:bCs/>
          <w:lang w:eastAsia="en-US"/>
        </w:rPr>
        <w:t>IFD/ICS</w:t>
      </w:r>
    </w:p>
    <w:p w:rsidR="00502C7E" w:rsidRPr="008A55E3" w:rsidRDefault="00AB0B9C">
      <w:pPr>
        <w:spacing w:after="0" w:line="360" w:lineRule="auto"/>
        <w:rPr>
          <w:rFonts w:ascii="Arial" w:hAnsi="Arial" w:cs="Arial"/>
          <w:b/>
        </w:rPr>
      </w:pPr>
      <w:r w:rsidRPr="008A55E3">
        <w:rPr>
          <w:rFonts w:ascii="Arial" w:hAnsi="Arial" w:cs="Arial"/>
          <w:b/>
        </w:rPr>
        <w:t>Consultoría para el Diseño de una Metodología de Trabajo para la Habilitación de un Laboratorio de Gobierno (</w:t>
      </w:r>
      <w:proofErr w:type="spellStart"/>
      <w:r w:rsidRPr="008A55E3">
        <w:rPr>
          <w:rFonts w:ascii="Arial" w:hAnsi="Arial" w:cs="Arial"/>
          <w:b/>
        </w:rPr>
        <w:t>GobLab</w:t>
      </w:r>
      <w:proofErr w:type="spellEnd"/>
      <w:r w:rsidRPr="008A55E3">
        <w:rPr>
          <w:rFonts w:ascii="Arial" w:hAnsi="Arial" w:cs="Arial"/>
          <w:b/>
        </w:rPr>
        <w:t>)</w:t>
      </w:r>
    </w:p>
    <w:p w:rsidR="00502C7E" w:rsidRPr="008A55E3" w:rsidRDefault="00502C7E">
      <w:pPr>
        <w:spacing w:after="0" w:line="360" w:lineRule="auto"/>
        <w:jc w:val="center"/>
        <w:rPr>
          <w:rFonts w:ascii="Arial" w:hAnsi="Arial" w:cs="Arial"/>
          <w:bCs/>
        </w:rPr>
      </w:pPr>
      <w:bookmarkStart w:id="0" w:name="_Hlk489892635"/>
      <w:bookmarkEnd w:id="0"/>
    </w:p>
    <w:p w:rsidR="00502C7E" w:rsidRPr="008A55E3" w:rsidRDefault="00AB0B9C">
      <w:pPr>
        <w:spacing w:after="0" w:line="360" w:lineRule="auto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>TERMINOS DE REFERENCIA</w:t>
      </w:r>
    </w:p>
    <w:p w:rsidR="00502C7E" w:rsidRPr="008A55E3" w:rsidRDefault="00AB0B9C">
      <w:pPr>
        <w:spacing w:after="0" w:line="360" w:lineRule="auto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>Antecedentes</w:t>
      </w:r>
    </w:p>
    <w:p w:rsidR="00502C7E" w:rsidRPr="008A55E3" w:rsidRDefault="00502C7E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8A55E3">
        <w:rPr>
          <w:rFonts w:ascii="Arial" w:hAnsi="Arial" w:cs="Arial"/>
          <w:lang w:val="es-ES"/>
        </w:rPr>
        <w:t xml:space="preserve">Establecido en 1959, el Banco Interamericano de Desarrollo (" BID " o " </w:t>
      </w:r>
      <w:r w:rsidRPr="008A55E3">
        <w:rPr>
          <w:rFonts w:ascii="Arial" w:hAnsi="Arial" w:cs="Arial"/>
          <w:lang w:val="es-ES"/>
        </w:rPr>
        <w:t>Banco") es la principal fuente de financiamiento para el desarrollo económico, social e institucional en América Latina y el Caribe. Proporciona préstamos, subvenciones, garantías, asesoramiento sobre políticas y asistencia técnica a los sectores público y</w:t>
      </w:r>
      <w:r w:rsidRPr="008A55E3">
        <w:rPr>
          <w:rFonts w:ascii="Arial" w:hAnsi="Arial" w:cs="Arial"/>
          <w:lang w:val="es-ES"/>
        </w:rPr>
        <w:t xml:space="preserve"> privado de sus países prestatarios.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502C7E" w:rsidRPr="008A55E3" w:rsidRDefault="00AB0B9C">
      <w:pPr>
        <w:pStyle w:val="Default"/>
        <w:spacing w:line="360" w:lineRule="auto"/>
        <w:jc w:val="both"/>
        <w:rPr>
          <w:color w:val="auto"/>
          <w:sz w:val="22"/>
          <w:szCs w:val="22"/>
          <w:lang w:val="es-ES"/>
        </w:rPr>
      </w:pPr>
      <w:r w:rsidRPr="008A55E3">
        <w:rPr>
          <w:color w:val="auto"/>
          <w:sz w:val="22"/>
          <w:szCs w:val="22"/>
          <w:lang w:val="es-ES"/>
        </w:rPr>
        <w:t>Desde la creación de la Secretaría Nacional de Tecnologías de la Información y Comunicación (</w:t>
      </w:r>
      <w:proofErr w:type="spellStart"/>
      <w:r w:rsidRPr="008A55E3">
        <w:rPr>
          <w:color w:val="auto"/>
          <w:sz w:val="22"/>
          <w:szCs w:val="22"/>
          <w:lang w:val="es-ES"/>
        </w:rPr>
        <w:t>SENATICs</w:t>
      </w:r>
      <w:proofErr w:type="spellEnd"/>
      <w:r w:rsidRPr="008A55E3">
        <w:rPr>
          <w:color w:val="auto"/>
          <w:sz w:val="22"/>
          <w:szCs w:val="22"/>
          <w:lang w:val="es-ES"/>
        </w:rPr>
        <w:t>) en el año 2013</w:t>
      </w:r>
      <w:r w:rsidRPr="008A55E3">
        <w:rPr>
          <w:rStyle w:val="FootnoteAnchor"/>
          <w:color w:val="auto"/>
          <w:sz w:val="22"/>
          <w:szCs w:val="22"/>
          <w:lang w:val="es-ES"/>
        </w:rPr>
        <w:footnoteReference w:id="1"/>
      </w:r>
      <w:r w:rsidRPr="008A55E3">
        <w:rPr>
          <w:color w:val="auto"/>
          <w:sz w:val="22"/>
          <w:szCs w:val="22"/>
          <w:lang w:val="es-ES"/>
        </w:rPr>
        <w:t>, la República del Paraguay se encuentra en un proceso de transformación continua, en el mejoramient</w:t>
      </w:r>
      <w:r w:rsidRPr="008A55E3">
        <w:rPr>
          <w:color w:val="auto"/>
          <w:sz w:val="22"/>
          <w:szCs w:val="22"/>
          <w:lang w:val="es-ES"/>
        </w:rPr>
        <w:t>o de acceso a servicios públicos gubernamentales a los ciudadanos y sectores atendidos, gracias a la incorporación de las tecnologías de la información y comunicación (TIC) en los procesos de gestión interna de las instituciones públicas.</w:t>
      </w:r>
    </w:p>
    <w:p w:rsidR="00502C7E" w:rsidRPr="008A55E3" w:rsidRDefault="00502C7E">
      <w:pPr>
        <w:spacing w:after="0" w:line="360" w:lineRule="auto"/>
        <w:ind w:left="270"/>
        <w:jc w:val="both"/>
        <w:rPr>
          <w:rFonts w:ascii="Arial" w:hAnsi="Arial" w:cs="Arial"/>
          <w:lang w:val="es-E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8A55E3">
        <w:rPr>
          <w:rFonts w:ascii="Arial" w:hAnsi="Arial" w:cs="Arial"/>
          <w:lang w:val="es-ES"/>
        </w:rPr>
        <w:t>Dentro de las at</w:t>
      </w:r>
      <w:r w:rsidRPr="008A55E3">
        <w:rPr>
          <w:rFonts w:ascii="Arial" w:hAnsi="Arial" w:cs="Arial"/>
          <w:lang w:val="es-ES"/>
        </w:rPr>
        <w:t xml:space="preserve">ribuciones establecidas a la </w:t>
      </w:r>
      <w:proofErr w:type="spellStart"/>
      <w:r w:rsidRPr="008A55E3">
        <w:rPr>
          <w:rFonts w:ascii="Arial" w:hAnsi="Arial" w:cs="Arial"/>
          <w:lang w:val="es-ES"/>
        </w:rPr>
        <w:t>SENATICs</w:t>
      </w:r>
      <w:proofErr w:type="spellEnd"/>
      <w:r w:rsidRPr="008A55E3">
        <w:rPr>
          <w:rStyle w:val="FootnoteAnchor"/>
          <w:rFonts w:ascii="Arial" w:hAnsi="Arial" w:cs="Arial"/>
          <w:lang w:val="es-ES"/>
        </w:rPr>
        <w:footnoteReference w:id="2"/>
      </w:r>
      <w:r w:rsidRPr="008A55E3">
        <w:rPr>
          <w:rFonts w:ascii="Arial" w:hAnsi="Arial" w:cs="Arial"/>
          <w:lang w:val="es-ES"/>
        </w:rPr>
        <w:t xml:space="preserve"> se establecen que esta Secretaría deberá propiciar y emitir directrices para la optimización de los trámites y procesos, y la interoperabilidad entre los distintos Organismos y Entidades del Estado (OEE), que tengan incidencia directa en el fortalecimient</w:t>
      </w:r>
      <w:r w:rsidRPr="008A55E3">
        <w:rPr>
          <w:rFonts w:ascii="Arial" w:hAnsi="Arial" w:cs="Arial"/>
          <w:lang w:val="es-ES"/>
        </w:rPr>
        <w:t xml:space="preserve">o de la eficacia, eficiencia y transparencia de las prestaciones y servicios </w:t>
      </w:r>
      <w:proofErr w:type="spellStart"/>
      <w:r w:rsidRPr="008A55E3">
        <w:rPr>
          <w:rFonts w:ascii="Arial" w:hAnsi="Arial" w:cs="Arial"/>
          <w:lang w:val="es-ES"/>
        </w:rPr>
        <w:t>púbicos</w:t>
      </w:r>
      <w:proofErr w:type="spellEnd"/>
      <w:r w:rsidRPr="008A55E3">
        <w:rPr>
          <w:rFonts w:ascii="Arial" w:hAnsi="Arial" w:cs="Arial"/>
          <w:lang w:val="es-ES"/>
        </w:rPr>
        <w:t>. En este sentido, el Plan Director de TIC</w:t>
      </w:r>
      <w:r w:rsidRPr="008A55E3">
        <w:rPr>
          <w:rStyle w:val="FootnoteAnchor"/>
          <w:rFonts w:ascii="Arial" w:hAnsi="Arial" w:cs="Arial"/>
          <w:lang w:val="es-ES"/>
        </w:rPr>
        <w:footnoteReference w:id="3"/>
      </w:r>
      <w:r w:rsidRPr="008A55E3">
        <w:rPr>
          <w:rFonts w:ascii="Arial" w:hAnsi="Arial" w:cs="Arial"/>
          <w:lang w:val="es-ES"/>
        </w:rPr>
        <w:t xml:space="preserve"> (PDT), elaborado en el 2011, constituye una hoja de ruta que permite desarrollar una estrategia, apuntando a que las </w:t>
      </w:r>
      <w:proofErr w:type="spellStart"/>
      <w:r w:rsidRPr="008A55E3">
        <w:rPr>
          <w:rFonts w:ascii="Arial" w:hAnsi="Arial" w:cs="Arial"/>
          <w:lang w:val="es-ES"/>
        </w:rPr>
        <w:t>TICs</w:t>
      </w:r>
      <w:proofErr w:type="spellEnd"/>
      <w:r w:rsidRPr="008A55E3">
        <w:rPr>
          <w:rFonts w:ascii="Arial" w:hAnsi="Arial" w:cs="Arial"/>
          <w:lang w:val="es-ES"/>
        </w:rPr>
        <w:t xml:space="preserve"> se con</w:t>
      </w:r>
      <w:r w:rsidRPr="008A55E3">
        <w:rPr>
          <w:rFonts w:ascii="Arial" w:hAnsi="Arial" w:cs="Arial"/>
          <w:lang w:val="es-ES"/>
        </w:rPr>
        <w:t>viertan en un eje clave para alcanzar el desarrollo sostenible a largo plazo en el Paraguay. En el mismo orden de temas, en el Plan Nacional de Desarrollo 2030</w:t>
      </w:r>
      <w:r w:rsidRPr="008A55E3">
        <w:rPr>
          <w:rStyle w:val="FootnoteAnchor"/>
          <w:rFonts w:ascii="Arial" w:hAnsi="Arial" w:cs="Arial"/>
          <w:lang w:val="es-ES"/>
        </w:rPr>
        <w:footnoteReference w:id="4"/>
      </w:r>
      <w:r w:rsidRPr="008A55E3">
        <w:rPr>
          <w:rFonts w:ascii="Arial" w:hAnsi="Arial" w:cs="Arial"/>
          <w:lang w:val="es-ES"/>
        </w:rPr>
        <w:t xml:space="preserve"> (documento </w:t>
      </w:r>
      <w:r w:rsidRPr="008A55E3">
        <w:rPr>
          <w:rFonts w:ascii="Arial" w:hAnsi="Arial" w:cs="Arial"/>
          <w:lang w:val="es-ES"/>
        </w:rPr>
        <w:lastRenderedPageBreak/>
        <w:t>estratégico que facilita la coordinación de las acciones del Poder Ejecutivo con mir</w:t>
      </w:r>
      <w:r w:rsidRPr="008A55E3">
        <w:rPr>
          <w:rFonts w:ascii="Arial" w:hAnsi="Arial" w:cs="Arial"/>
          <w:lang w:val="es-ES"/>
        </w:rPr>
        <w:t>as a la construcción de una visión de país), en el eje transversal de “Gestión Pública y Eficiente” se incluye el objetivo estratégico de aumentar el acceso a información pública y trámites por medio de redes electrónicas.</w:t>
      </w:r>
    </w:p>
    <w:p w:rsidR="00502C7E" w:rsidRPr="008A55E3" w:rsidRDefault="00502C7E">
      <w:pPr>
        <w:spacing w:after="0" w:line="360" w:lineRule="auto"/>
        <w:ind w:left="270"/>
        <w:jc w:val="both"/>
        <w:rPr>
          <w:rFonts w:ascii="Arial" w:hAnsi="Arial" w:cs="Arial"/>
          <w:lang w:val="es-E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8A55E3">
        <w:rPr>
          <w:rFonts w:ascii="Arial" w:hAnsi="Arial" w:cs="Arial"/>
          <w:lang w:val="es-ES"/>
        </w:rPr>
        <w:t>Con el propósito de optimizar lo</w:t>
      </w:r>
      <w:r w:rsidRPr="008A55E3">
        <w:rPr>
          <w:rFonts w:ascii="Arial" w:hAnsi="Arial" w:cs="Arial"/>
          <w:lang w:val="es-ES"/>
        </w:rPr>
        <w:t xml:space="preserve">s trámites más demandados por la ciudadanía, la </w:t>
      </w:r>
      <w:proofErr w:type="spellStart"/>
      <w:r w:rsidRPr="008A55E3">
        <w:rPr>
          <w:rFonts w:ascii="Arial" w:hAnsi="Arial" w:cs="Arial"/>
          <w:lang w:val="es-ES"/>
        </w:rPr>
        <w:t>SENACTICs</w:t>
      </w:r>
      <w:proofErr w:type="spellEnd"/>
      <w:r w:rsidRPr="008A55E3">
        <w:rPr>
          <w:rFonts w:ascii="Arial" w:hAnsi="Arial" w:cs="Arial"/>
          <w:lang w:val="es-ES"/>
        </w:rPr>
        <w:t xml:space="preserve"> viene impulsando una seria de medidas, como la actualización e inclusión dentro del PDT la línea estratégica del proyecto “Simplificación e Innovación de Trámites ofrecidos a la ciudadana (SIT)”. En</w:t>
      </w:r>
      <w:r w:rsidRPr="008A55E3">
        <w:rPr>
          <w:rFonts w:ascii="Arial" w:hAnsi="Arial" w:cs="Arial"/>
          <w:lang w:val="es-ES"/>
        </w:rPr>
        <w:t xml:space="preserve"> esta línea con el apoyo del Banco se aprueba esta Cooperación Técnica cuyo objetivo es apoyar a la </w:t>
      </w:r>
      <w:proofErr w:type="spellStart"/>
      <w:r w:rsidRPr="008A55E3">
        <w:rPr>
          <w:rFonts w:ascii="Arial" w:hAnsi="Arial" w:cs="Arial"/>
          <w:lang w:val="es-ES"/>
        </w:rPr>
        <w:t>SENATICs</w:t>
      </w:r>
      <w:proofErr w:type="spellEnd"/>
      <w:r w:rsidRPr="008A55E3">
        <w:rPr>
          <w:rFonts w:ascii="Arial" w:hAnsi="Arial" w:cs="Arial"/>
          <w:lang w:val="es-ES"/>
        </w:rPr>
        <w:t xml:space="preserve"> en el proceso de implementación de la Simplificación e Innovación de Tramites ofrecidos a la ciudadanía. Los objetivos específicos son: (i) fortale</w:t>
      </w:r>
      <w:r w:rsidRPr="008A55E3">
        <w:rPr>
          <w:rFonts w:ascii="Arial" w:hAnsi="Arial" w:cs="Arial"/>
          <w:lang w:val="es-ES"/>
        </w:rPr>
        <w:t xml:space="preserve">cer las capacidades institucionales de la </w:t>
      </w:r>
      <w:proofErr w:type="spellStart"/>
      <w:r w:rsidRPr="008A55E3">
        <w:rPr>
          <w:rFonts w:ascii="Arial" w:hAnsi="Arial" w:cs="Arial"/>
          <w:lang w:val="es-ES"/>
        </w:rPr>
        <w:t>SENATICs</w:t>
      </w:r>
      <w:proofErr w:type="spellEnd"/>
      <w:r w:rsidRPr="008A55E3">
        <w:rPr>
          <w:rFonts w:ascii="Arial" w:hAnsi="Arial" w:cs="Arial"/>
          <w:lang w:val="es-ES"/>
        </w:rPr>
        <w:t xml:space="preserve"> para que pueda cumplir su rol como ente rector del Gobierno Digital; y (</w:t>
      </w:r>
      <w:proofErr w:type="spellStart"/>
      <w:r w:rsidRPr="008A55E3">
        <w:rPr>
          <w:rFonts w:ascii="Arial" w:hAnsi="Arial" w:cs="Arial"/>
          <w:lang w:val="es-ES"/>
        </w:rPr>
        <w:t>ii</w:t>
      </w:r>
      <w:proofErr w:type="spellEnd"/>
      <w:r w:rsidRPr="008A55E3">
        <w:rPr>
          <w:rFonts w:ascii="Arial" w:hAnsi="Arial" w:cs="Arial"/>
          <w:lang w:val="es-ES"/>
        </w:rPr>
        <w:t xml:space="preserve">) facilitar y agilizar el proceso de adopción de la firma digital en los OEE para entregar mejores servicios a los ciudadanos y en </w:t>
      </w:r>
      <w:r w:rsidRPr="008A55E3">
        <w:rPr>
          <w:rFonts w:ascii="Arial" w:hAnsi="Arial" w:cs="Arial"/>
          <w:lang w:val="es-ES"/>
        </w:rPr>
        <w:t>forma más eficiente.</w:t>
      </w:r>
    </w:p>
    <w:p w:rsidR="00502C7E" w:rsidRPr="008A55E3" w:rsidRDefault="00502C7E">
      <w:pPr>
        <w:spacing w:after="0" w:line="360" w:lineRule="auto"/>
        <w:ind w:left="270"/>
        <w:jc w:val="both"/>
        <w:rPr>
          <w:rFonts w:ascii="Arial" w:hAnsi="Arial" w:cs="Arial"/>
          <w:lang w:val="es-ES"/>
        </w:rPr>
      </w:pPr>
    </w:p>
    <w:p w:rsidR="00502C7E" w:rsidRPr="008A55E3" w:rsidRDefault="00AB0B9C">
      <w:pPr>
        <w:spacing w:after="0" w:line="360" w:lineRule="auto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>Objetivo de la Consultoría</w:t>
      </w:r>
    </w:p>
    <w:p w:rsidR="00502C7E" w:rsidRPr="008A55E3" w:rsidRDefault="00502C7E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8A55E3">
        <w:rPr>
          <w:rFonts w:ascii="Arial" w:hAnsi="Arial" w:cs="Arial"/>
          <w:lang w:val="es-ES"/>
        </w:rPr>
        <w:t>El Objetivo de la consultoría es el diseño de una metodología de trabajo para la habilitación de un Laboratorio de Gobierno (</w:t>
      </w:r>
      <w:proofErr w:type="spellStart"/>
      <w:r w:rsidRPr="008A55E3">
        <w:rPr>
          <w:rFonts w:ascii="Arial" w:hAnsi="Arial" w:cs="Arial"/>
          <w:lang w:val="es-ES"/>
        </w:rPr>
        <w:t>GobLab</w:t>
      </w:r>
      <w:proofErr w:type="spellEnd"/>
      <w:r w:rsidRPr="008A55E3">
        <w:rPr>
          <w:rFonts w:ascii="Arial" w:hAnsi="Arial" w:cs="Arial"/>
          <w:lang w:val="es-ES"/>
        </w:rPr>
        <w:t>) orientado a la innovación y mejoramiento en la prestación de trámites y s</w:t>
      </w:r>
      <w:r w:rsidRPr="008A55E3">
        <w:rPr>
          <w:rFonts w:ascii="Arial" w:hAnsi="Arial" w:cs="Arial"/>
          <w:lang w:val="es-ES"/>
        </w:rPr>
        <w:t>ervicios públicos utilizados por los ciudadanos por medio de las redes electrónicas.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02C7E" w:rsidRPr="008A55E3" w:rsidRDefault="00AB0B9C">
      <w:pPr>
        <w:pStyle w:val="Default"/>
        <w:spacing w:line="360" w:lineRule="auto"/>
        <w:jc w:val="both"/>
        <w:rPr>
          <w:b/>
          <w:color w:val="auto"/>
          <w:sz w:val="22"/>
          <w:szCs w:val="22"/>
        </w:rPr>
      </w:pPr>
      <w:bookmarkStart w:id="1" w:name="_Hlk489823187"/>
      <w:bookmarkEnd w:id="1"/>
      <w:r w:rsidRPr="008A55E3">
        <w:rPr>
          <w:b/>
          <w:color w:val="auto"/>
          <w:sz w:val="22"/>
          <w:szCs w:val="22"/>
        </w:rPr>
        <w:t>Actividades Principales</w:t>
      </w:r>
    </w:p>
    <w:p w:rsidR="00502C7E" w:rsidRPr="008A55E3" w:rsidRDefault="00502C7E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Acordar la definición del Plan de Trabajo a implementar para el desarrollo de la Consultoría, estableciendo el cronograma detallado de </w:t>
      </w:r>
      <w:r w:rsidRPr="008A55E3">
        <w:rPr>
          <w:rFonts w:ascii="Arial" w:hAnsi="Arial" w:cs="Arial"/>
        </w:rPr>
        <w:t xml:space="preserve">actividades, tareas y metas a cumplir sobre la base del enfoque metodológico de la consultoría, ejes de trabajo, principales acciones, objetivos, recursos, personal clave, población meta, indicadores de logro, </w:t>
      </w:r>
      <w:proofErr w:type="spellStart"/>
      <w:r w:rsidRPr="008A55E3">
        <w:rPr>
          <w:rFonts w:ascii="Arial" w:hAnsi="Arial" w:cs="Arial"/>
        </w:rPr>
        <w:t>etc</w:t>
      </w:r>
      <w:proofErr w:type="spellEnd"/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pStyle w:val="Prrafodelista"/>
        <w:widowControl w:val="0"/>
        <w:numPr>
          <w:ilvl w:val="0"/>
          <w:numId w:val="3"/>
        </w:numPr>
        <w:spacing w:after="0" w:line="360" w:lineRule="auto"/>
        <w:ind w:left="720"/>
        <w:contextualSpacing w:val="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Realizar reuniones con directivos y téc</w:t>
      </w:r>
      <w:r w:rsidRPr="008A55E3">
        <w:rPr>
          <w:rFonts w:ascii="Arial" w:hAnsi="Arial" w:cs="Arial"/>
        </w:rPr>
        <w:t xml:space="preserve">nicos de la </w:t>
      </w:r>
      <w:proofErr w:type="spellStart"/>
      <w:r w:rsidRPr="008A55E3">
        <w:rPr>
          <w:rFonts w:ascii="Arial" w:hAnsi="Arial" w:cs="Arial"/>
        </w:rPr>
        <w:t>SENATICs</w:t>
      </w:r>
      <w:proofErr w:type="spellEnd"/>
      <w:r w:rsidRPr="008A55E3">
        <w:rPr>
          <w:rFonts w:ascii="Arial" w:hAnsi="Arial" w:cs="Arial"/>
        </w:rPr>
        <w:t xml:space="preserve"> y otros actores claves, a fin de recoger datos, pareceres y experiencias que puedan servir de insumos </w:t>
      </w:r>
      <w:r w:rsidRPr="008A55E3">
        <w:rPr>
          <w:rFonts w:ascii="Arial" w:hAnsi="Arial" w:cs="Arial"/>
        </w:rPr>
        <w:lastRenderedPageBreak/>
        <w:t>(particularmente la iniciativa I-LAB) para posteriormente sistematizar los aportes recibidos e incorporarlos (si correspondiere) a lo</w:t>
      </w:r>
      <w:r w:rsidRPr="008A55E3">
        <w:rPr>
          <w:rFonts w:ascii="Arial" w:hAnsi="Arial" w:cs="Arial"/>
        </w:rPr>
        <w:t>s productos previstos.</w:t>
      </w:r>
    </w:p>
    <w:p w:rsidR="00502C7E" w:rsidRPr="008A55E3" w:rsidRDefault="00502C7E">
      <w:pPr>
        <w:pStyle w:val="Prrafodelista"/>
        <w:widowControl w:val="0"/>
        <w:spacing w:after="0" w:line="360" w:lineRule="auto"/>
        <w:ind w:hanging="360"/>
        <w:contextualSpacing w:val="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Entrevistar con autoridades y funcionarios técnicos de las instituciones y áreas fundamentales para la creación de un laboratorio de innovación pública de gobierno (</w:t>
      </w:r>
      <w:proofErr w:type="spellStart"/>
      <w:r w:rsidRPr="008A55E3">
        <w:rPr>
          <w:rFonts w:ascii="Arial" w:hAnsi="Arial" w:cs="Arial"/>
        </w:rPr>
        <w:t>GobLab</w:t>
      </w:r>
      <w:proofErr w:type="spellEnd"/>
      <w:r w:rsidRPr="008A55E3">
        <w:rPr>
          <w:rFonts w:ascii="Arial" w:hAnsi="Arial" w:cs="Arial"/>
        </w:rPr>
        <w:t>).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Realizar un análisis comparativo entre el </w:t>
      </w:r>
      <w:proofErr w:type="spellStart"/>
      <w:r w:rsidRPr="008A55E3">
        <w:rPr>
          <w:rFonts w:ascii="Arial" w:hAnsi="Arial" w:cs="Arial"/>
        </w:rPr>
        <w:t>Gob-Lab</w:t>
      </w:r>
      <w:proofErr w:type="spellEnd"/>
      <w:r w:rsidRPr="008A55E3">
        <w:rPr>
          <w:rFonts w:ascii="Arial" w:hAnsi="Arial" w:cs="Arial"/>
        </w:rPr>
        <w:t xml:space="preserve"> de Chil</w:t>
      </w:r>
      <w:r w:rsidRPr="008A55E3">
        <w:rPr>
          <w:rFonts w:ascii="Arial" w:hAnsi="Arial" w:cs="Arial"/>
        </w:rPr>
        <w:t>e y el I-LAB implementado en Paraguay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Elaborar una propuesta de metodología </w:t>
      </w:r>
      <w:r w:rsidRPr="008A55E3">
        <w:rPr>
          <w:rFonts w:ascii="Arial" w:hAnsi="Arial" w:cs="Arial"/>
        </w:rPr>
        <w:t xml:space="preserve">(proceso integrado de gestión) </w:t>
      </w:r>
      <w:r w:rsidRPr="008A55E3">
        <w:rPr>
          <w:rFonts w:ascii="Arial" w:hAnsi="Arial" w:cs="Arial"/>
        </w:rPr>
        <w:t xml:space="preserve">que guiará el laboratorio de innovación de la </w:t>
      </w:r>
      <w:proofErr w:type="spellStart"/>
      <w:r w:rsidRPr="008A55E3">
        <w:rPr>
          <w:rFonts w:ascii="Arial" w:hAnsi="Arial" w:cs="Arial"/>
        </w:rPr>
        <w:t>SENATICs</w:t>
      </w:r>
      <w:proofErr w:type="spellEnd"/>
      <w:r w:rsidRPr="008A55E3">
        <w:rPr>
          <w:rFonts w:ascii="Arial" w:hAnsi="Arial" w:cs="Arial"/>
        </w:rPr>
        <w:t xml:space="preserve"> que permita generación de valor público a través de la innovación de los trámites públicos de</w:t>
      </w:r>
      <w:r w:rsidRPr="008A55E3">
        <w:rPr>
          <w:rFonts w:ascii="Arial" w:hAnsi="Arial" w:cs="Arial"/>
        </w:rPr>
        <w:t xml:space="preserve">l Estado Paraguayo (prototipar, </w:t>
      </w:r>
      <w:proofErr w:type="spellStart"/>
      <w:r w:rsidRPr="008A55E3">
        <w:rPr>
          <w:rFonts w:ascii="Arial" w:hAnsi="Arial" w:cs="Arial"/>
        </w:rPr>
        <w:t>co-crear</w:t>
      </w:r>
      <w:proofErr w:type="spellEnd"/>
      <w:r w:rsidRPr="008A55E3">
        <w:rPr>
          <w:rFonts w:ascii="Arial" w:hAnsi="Arial" w:cs="Arial"/>
        </w:rPr>
        <w:t>, desarrollar o validar con usuarios las iniciativas o proyectos de nuevos servicios públicos).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Elaborar una propuesta de un espacio de referencia </w:t>
      </w:r>
      <w:r w:rsidRPr="008A55E3">
        <w:rPr>
          <w:rFonts w:ascii="Arial" w:hAnsi="Arial" w:cs="Arial"/>
        </w:rPr>
        <w:t>(</w:t>
      </w:r>
      <w:r w:rsidRPr="008A55E3">
        <w:rPr>
          <w:rFonts w:ascii="Arial" w:hAnsi="Arial" w:cs="Arial"/>
        </w:rPr>
        <w:t>incluidas las especificaciones de los mobiliarios y equipamientos m</w:t>
      </w:r>
      <w:r w:rsidRPr="008A55E3">
        <w:rPr>
          <w:rFonts w:ascii="Arial" w:hAnsi="Arial" w:cs="Arial"/>
        </w:rPr>
        <w:t>ínimos a considerar dependiendo de la cantidad de personas a participar)</w:t>
      </w:r>
      <w:r w:rsidR="008A55E3" w:rsidRPr="008A55E3">
        <w:rPr>
          <w:rFonts w:ascii="Arial" w:hAnsi="Arial" w:cs="Arial"/>
        </w:rPr>
        <w:t xml:space="preserve"> </w:t>
      </w:r>
      <w:r w:rsidRPr="008A55E3">
        <w:rPr>
          <w:rFonts w:ascii="Arial" w:hAnsi="Arial" w:cs="Arial"/>
        </w:rPr>
        <w:t xml:space="preserve">donde se generen y aceleren iniciativas que mejoren la vida de los usuarios, se creen dinámicas de sistematización de la innovación, se configuren soluciones a los grandes </w:t>
      </w:r>
      <w:r w:rsidRPr="008A55E3">
        <w:rPr>
          <w:rFonts w:ascii="Arial" w:hAnsi="Arial" w:cs="Arial"/>
        </w:rPr>
        <w:t>desafíos de país a través de la innovación abierta se genere una lógica de aprendizaje</w:t>
      </w:r>
      <w:r w:rsidRPr="008A55E3">
        <w:rPr>
          <w:rFonts w:ascii="Arial" w:hAnsi="Arial" w:cs="Arial"/>
        </w:rPr>
        <w:t xml:space="preserve"> documentado</w:t>
      </w:r>
      <w:r w:rsidRPr="008A55E3">
        <w:rPr>
          <w:rFonts w:ascii="Arial" w:hAnsi="Arial" w:cs="Arial"/>
        </w:rPr>
        <w:t xml:space="preserve"> y cambio cultural para el funcionario público.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Elaborar una p</w:t>
      </w:r>
      <w:bookmarkStart w:id="2" w:name="_Hlk489823917"/>
      <w:r w:rsidRPr="008A55E3">
        <w:rPr>
          <w:rFonts w:ascii="Arial" w:hAnsi="Arial" w:cs="Arial"/>
        </w:rPr>
        <w:t xml:space="preserve">ropuesta de una estructura flexible para el laboratorio de gobierno </w:t>
      </w:r>
      <w:bookmarkEnd w:id="2"/>
      <w:r w:rsidRPr="008A55E3">
        <w:rPr>
          <w:rFonts w:ascii="Arial" w:hAnsi="Arial" w:cs="Arial"/>
        </w:rPr>
        <w:t>a ser implantada en instala</w:t>
      </w:r>
      <w:r w:rsidRPr="008A55E3">
        <w:rPr>
          <w:rFonts w:ascii="Arial" w:hAnsi="Arial" w:cs="Arial"/>
        </w:rPr>
        <w:t xml:space="preserve">ciones provistas por la </w:t>
      </w:r>
      <w:proofErr w:type="spellStart"/>
      <w:r w:rsidRPr="008A55E3">
        <w:rPr>
          <w:rFonts w:ascii="Arial" w:hAnsi="Arial" w:cs="Arial"/>
        </w:rPr>
        <w:t>SENATICs</w:t>
      </w:r>
      <w:proofErr w:type="spellEnd"/>
      <w:r w:rsidRPr="008A55E3">
        <w:rPr>
          <w:rFonts w:ascii="Arial" w:hAnsi="Arial" w:cs="Arial"/>
        </w:rPr>
        <w:t xml:space="preserve">, orientada a la </w:t>
      </w:r>
      <w:proofErr w:type="spellStart"/>
      <w:r w:rsidRPr="008A55E3">
        <w:rPr>
          <w:rFonts w:ascii="Arial" w:hAnsi="Arial" w:cs="Arial"/>
        </w:rPr>
        <w:t>co-creación</w:t>
      </w:r>
      <w:proofErr w:type="spellEnd"/>
      <w:r w:rsidRPr="008A55E3">
        <w:rPr>
          <w:rFonts w:ascii="Arial" w:hAnsi="Arial" w:cs="Arial"/>
        </w:rPr>
        <w:t>, la rápida ejecución, la inclusividad y la orientación a proyectos de gran impacto con equipos multidisciplinarios</w:t>
      </w:r>
      <w:r w:rsidRPr="008A55E3">
        <w:rPr>
          <w:rFonts w:ascii="Arial" w:hAnsi="Arial" w:cs="Arial"/>
        </w:rPr>
        <w:t>, incluyendo los perfiles mínimos del personal técnico de cada integrante de acue</w:t>
      </w:r>
      <w:r w:rsidRPr="008A55E3">
        <w:rPr>
          <w:rFonts w:ascii="Arial" w:hAnsi="Arial" w:cs="Arial"/>
        </w:rPr>
        <w:t>rdo al rol que desempeñará</w:t>
      </w:r>
      <w:r w:rsidRPr="008A55E3">
        <w:rPr>
          <w:rFonts w:ascii="Arial" w:hAnsi="Arial" w:cs="Arial"/>
        </w:rPr>
        <w:t>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Elaborar </w:t>
      </w:r>
      <w:bookmarkStart w:id="3" w:name="_Hlk489823987"/>
      <w:r w:rsidRPr="008A55E3">
        <w:rPr>
          <w:rFonts w:ascii="Arial" w:hAnsi="Arial" w:cs="Arial"/>
        </w:rPr>
        <w:t>propuestas de uso de herramientas de innovación disruptiva</w:t>
      </w:r>
      <w:bookmarkEnd w:id="3"/>
      <w:r w:rsidRPr="008A55E3">
        <w:rPr>
          <w:rFonts w:ascii="Arial" w:hAnsi="Arial" w:cs="Arial"/>
        </w:rPr>
        <w:t>.</w:t>
      </w: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Brindar capacitación y coaching a funcionarios de la </w:t>
      </w:r>
      <w:proofErr w:type="spellStart"/>
      <w:r w:rsidRPr="008A55E3">
        <w:rPr>
          <w:rFonts w:ascii="Arial" w:hAnsi="Arial" w:cs="Arial"/>
        </w:rPr>
        <w:t>SENATICs</w:t>
      </w:r>
      <w:proofErr w:type="spellEnd"/>
      <w:r w:rsidRPr="008A55E3">
        <w:rPr>
          <w:rFonts w:ascii="Arial" w:hAnsi="Arial" w:cs="Arial"/>
        </w:rPr>
        <w:t>, de otros funcionarios públicos, de empresas, academia, ciudadanos emprendedores y otros a defin</w:t>
      </w:r>
      <w:r w:rsidRPr="008A55E3">
        <w:rPr>
          <w:rFonts w:ascii="Arial" w:hAnsi="Arial" w:cs="Arial"/>
        </w:rPr>
        <w:t>ir en temas relacionados a la innovación.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Contribuir a la formación de futuros formadores en innovación pública, que a su vez tendrán a su cargo el laboratorio de innovación (Radical </w:t>
      </w:r>
      <w:proofErr w:type="spellStart"/>
      <w:r w:rsidRPr="008A55E3">
        <w:rPr>
          <w:rFonts w:ascii="Arial" w:hAnsi="Arial" w:cs="Arial"/>
        </w:rPr>
        <w:t>Team</w:t>
      </w:r>
      <w:proofErr w:type="spellEnd"/>
      <w:r w:rsidRPr="008A55E3">
        <w:rPr>
          <w:rFonts w:ascii="Arial" w:hAnsi="Arial" w:cs="Arial"/>
        </w:rPr>
        <w:t>)</w:t>
      </w:r>
      <w:r w:rsidRPr="008A55E3">
        <w:rPr>
          <w:rFonts w:ascii="Arial" w:hAnsi="Arial" w:cs="Arial"/>
        </w:rPr>
        <w:t xml:space="preserve"> por medio de la ent</w:t>
      </w:r>
      <w:r w:rsidRPr="008A55E3">
        <w:rPr>
          <w:rFonts w:ascii="Arial" w:hAnsi="Arial" w:cs="Arial"/>
        </w:rPr>
        <w:t>rega de documentación formativa paso a paso</w:t>
      </w:r>
      <w:r w:rsidRPr="008A55E3">
        <w:rPr>
          <w:rFonts w:ascii="Arial" w:hAnsi="Arial" w:cs="Arial"/>
        </w:rPr>
        <w:t>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Definir perfiles profesionales de los miembros del Radical </w:t>
      </w:r>
      <w:proofErr w:type="spellStart"/>
      <w:r w:rsidRPr="008A55E3">
        <w:rPr>
          <w:rFonts w:ascii="Arial" w:hAnsi="Arial" w:cs="Arial"/>
        </w:rPr>
        <w:t>Team</w:t>
      </w:r>
      <w:proofErr w:type="spellEnd"/>
      <w:r w:rsidRPr="008A55E3">
        <w:rPr>
          <w:rFonts w:ascii="Arial" w:hAnsi="Arial" w:cs="Arial"/>
        </w:rPr>
        <w:t xml:space="preserve"> de innovación.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Realizar dinámicas para la generación de proyectos innovadores</w:t>
      </w:r>
      <w:r w:rsidRPr="008A55E3">
        <w:rPr>
          <w:rFonts w:ascii="Arial" w:hAnsi="Arial" w:cs="Arial"/>
        </w:rPr>
        <w:t xml:space="preserve"> con los funcionarios y ciudadanos usuarios</w:t>
      </w:r>
      <w:r w:rsidRPr="008A55E3">
        <w:rPr>
          <w:rFonts w:ascii="Arial" w:hAnsi="Arial" w:cs="Arial"/>
        </w:rPr>
        <w:t>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Elaborar una </w:t>
      </w:r>
      <w:bookmarkStart w:id="4" w:name="_Hlk489824202"/>
      <w:r w:rsidRPr="008A55E3">
        <w:rPr>
          <w:rFonts w:ascii="Arial" w:hAnsi="Arial" w:cs="Arial"/>
        </w:rPr>
        <w:t>propuesta un curso en línea de innovación pública que i</w:t>
      </w:r>
      <w:r w:rsidRPr="008A55E3">
        <w:rPr>
          <w:rFonts w:ascii="Arial" w:hAnsi="Arial" w:cs="Arial"/>
        </w:rPr>
        <w:t>ncluya (Diseño del concepto curricular del curso, Identificación de docentes, Criterios de evaluación para definir la institución que lo vaya a imp</w:t>
      </w:r>
      <w:bookmarkStart w:id="5" w:name="_GoBack"/>
      <w:bookmarkEnd w:id="5"/>
      <w:r w:rsidRPr="008A55E3">
        <w:rPr>
          <w:rFonts w:ascii="Arial" w:hAnsi="Arial" w:cs="Arial"/>
        </w:rPr>
        <w:t>lementar</w:t>
      </w:r>
      <w:bookmarkEnd w:id="4"/>
      <w:r w:rsidRPr="008A55E3">
        <w:rPr>
          <w:rFonts w:ascii="Arial" w:hAnsi="Arial" w:cs="Arial"/>
        </w:rPr>
        <w:t xml:space="preserve">, </w:t>
      </w:r>
      <w:r w:rsidRPr="008A55E3">
        <w:rPr>
          <w:rFonts w:ascii="Arial" w:hAnsi="Arial" w:cs="Arial"/>
        </w:rPr>
        <w:t xml:space="preserve">las metodologías utilizadas, </w:t>
      </w:r>
      <w:r w:rsidRPr="008A55E3">
        <w:rPr>
          <w:rFonts w:ascii="Arial" w:hAnsi="Arial" w:cs="Arial"/>
        </w:rPr>
        <w:t>diseñar, acompañar en la implementación y evaluación del piloto del cu</w:t>
      </w:r>
      <w:r w:rsidRPr="008A55E3">
        <w:rPr>
          <w:rFonts w:ascii="Arial" w:hAnsi="Arial" w:cs="Arial"/>
        </w:rPr>
        <w:t>rso)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Elaborar </w:t>
      </w:r>
      <w:r w:rsidRPr="008A55E3">
        <w:rPr>
          <w:rFonts w:ascii="Arial" w:hAnsi="Arial" w:cs="Arial"/>
        </w:rPr>
        <w:t xml:space="preserve"> materiales de difusión de la metodología de innovación de servicios públicos.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Diseñar </w:t>
      </w:r>
      <w:r w:rsidRPr="008A55E3">
        <w:rPr>
          <w:rFonts w:ascii="Arial" w:hAnsi="Arial" w:cs="Arial"/>
        </w:rPr>
        <w:t xml:space="preserve"> la hoja de ruta de innovación, lógicas de innovación abierta, dinámicas de captación y </w:t>
      </w:r>
      <w:proofErr w:type="spellStart"/>
      <w:r w:rsidRPr="008A55E3">
        <w:rPr>
          <w:rFonts w:ascii="Arial" w:hAnsi="Arial" w:cs="Arial"/>
        </w:rPr>
        <w:t>co-creación</w:t>
      </w:r>
      <w:proofErr w:type="spellEnd"/>
      <w:r w:rsidRPr="008A55E3">
        <w:rPr>
          <w:rFonts w:ascii="Arial" w:hAnsi="Arial" w:cs="Arial"/>
        </w:rPr>
        <w:t xml:space="preserve"> de ideas con los ciudadanos</w:t>
      </w:r>
      <w:r w:rsidRPr="008A55E3">
        <w:rPr>
          <w:rFonts w:ascii="Arial" w:hAnsi="Arial" w:cs="Arial"/>
        </w:rPr>
        <w:t xml:space="preserve">, </w:t>
      </w:r>
      <w:r w:rsidRPr="008A55E3">
        <w:rPr>
          <w:rFonts w:ascii="Arial" w:hAnsi="Arial" w:cs="Arial"/>
        </w:rPr>
        <w:t xml:space="preserve">que sirvan de guía para futuros proyectos posteriores a la consultoría y apoyados por el personal del laboratorio de </w:t>
      </w:r>
      <w:r w:rsidRPr="008A55E3">
        <w:rPr>
          <w:rFonts w:ascii="Arial" w:hAnsi="Arial" w:cs="Arial"/>
        </w:rPr>
        <w:t>gobierno</w:t>
      </w:r>
      <w:r w:rsidRPr="008A55E3">
        <w:rPr>
          <w:rFonts w:ascii="Arial" w:hAnsi="Arial" w:cs="Arial"/>
        </w:rPr>
        <w:t>.</w:t>
      </w:r>
    </w:p>
    <w:p w:rsidR="00502C7E" w:rsidRPr="008A55E3" w:rsidRDefault="00502C7E">
      <w:pPr>
        <w:spacing w:after="0" w:line="360" w:lineRule="auto"/>
        <w:ind w:left="720" w:hanging="360"/>
        <w:jc w:val="both"/>
      </w:pPr>
    </w:p>
    <w:p w:rsidR="00502C7E" w:rsidRPr="008A55E3" w:rsidRDefault="00AB0B9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 xml:space="preserve">Elaborar </w:t>
      </w:r>
      <w:bookmarkStart w:id="6" w:name="_Hlk489824296"/>
      <w:r w:rsidRPr="008A55E3">
        <w:rPr>
          <w:rFonts w:ascii="Arial" w:hAnsi="Arial" w:cs="Arial"/>
        </w:rPr>
        <w:t>propuestas de metodologías de innovación abierta, de transferencia de buenas prácticas</w:t>
      </w:r>
      <w:bookmarkEnd w:id="6"/>
      <w:r w:rsidRPr="008A55E3">
        <w:rPr>
          <w:rFonts w:ascii="Arial" w:hAnsi="Arial" w:cs="Arial"/>
        </w:rPr>
        <w:t>.</w:t>
      </w:r>
    </w:p>
    <w:p w:rsidR="00502C7E" w:rsidRPr="008A55E3" w:rsidRDefault="00502C7E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>Informes / Entregables</w:t>
      </w:r>
    </w:p>
    <w:p w:rsidR="00502C7E" w:rsidRPr="008A55E3" w:rsidRDefault="00502C7E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2C7E" w:rsidRPr="008A55E3" w:rsidRDefault="00AB0B9C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8A55E3">
        <w:rPr>
          <w:color w:val="auto"/>
          <w:sz w:val="22"/>
          <w:szCs w:val="22"/>
        </w:rPr>
        <w:t>Los pr</w:t>
      </w:r>
      <w:r w:rsidRPr="008A55E3">
        <w:rPr>
          <w:color w:val="auto"/>
          <w:sz w:val="22"/>
          <w:szCs w:val="22"/>
        </w:rPr>
        <w:t xml:space="preserve">oductos </w:t>
      </w:r>
      <w:r w:rsidRPr="008A55E3">
        <w:rPr>
          <w:color w:val="auto"/>
          <w:sz w:val="22"/>
          <w:szCs w:val="22"/>
        </w:rPr>
        <w:t>esperados de la consultoría son:</w:t>
      </w:r>
    </w:p>
    <w:p w:rsidR="00502C7E" w:rsidRPr="008A55E3" w:rsidRDefault="00502C7E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502C7E" w:rsidRPr="008A55E3" w:rsidRDefault="00AB0B9C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2"/>
          <w:szCs w:val="22"/>
        </w:rPr>
      </w:pPr>
      <w:r w:rsidRPr="008A55E3">
        <w:rPr>
          <w:b/>
          <w:color w:val="auto"/>
          <w:sz w:val="22"/>
          <w:szCs w:val="22"/>
        </w:rPr>
        <w:t>Producto 1</w:t>
      </w:r>
      <w:r w:rsidRPr="008A55E3">
        <w:rPr>
          <w:color w:val="auto"/>
          <w:sz w:val="22"/>
          <w:szCs w:val="22"/>
        </w:rPr>
        <w:t>: Informe de Avance que incluya</w:t>
      </w:r>
      <w:r w:rsidRPr="008A55E3">
        <w:rPr>
          <w:color w:val="auto"/>
          <w:sz w:val="22"/>
          <w:szCs w:val="22"/>
        </w:rPr>
        <w:t xml:space="preserve"> la propuesta de metodología que guiará el laboratorio de innovación de la </w:t>
      </w:r>
      <w:proofErr w:type="spellStart"/>
      <w:r w:rsidRPr="008A55E3">
        <w:rPr>
          <w:color w:val="auto"/>
          <w:sz w:val="22"/>
          <w:szCs w:val="22"/>
        </w:rPr>
        <w:t>SENATICs</w:t>
      </w:r>
      <w:proofErr w:type="spellEnd"/>
      <w:r w:rsidRPr="008A55E3">
        <w:rPr>
          <w:color w:val="auto"/>
          <w:sz w:val="22"/>
          <w:szCs w:val="22"/>
        </w:rPr>
        <w:t>,</w:t>
      </w:r>
      <w:r w:rsidRPr="008A55E3">
        <w:rPr>
          <w:color w:val="auto"/>
          <w:sz w:val="22"/>
          <w:szCs w:val="22"/>
        </w:rPr>
        <w:t xml:space="preserve"> los 45 días de iniciada la Consultoría.</w:t>
      </w:r>
    </w:p>
    <w:p w:rsidR="00502C7E" w:rsidRPr="008A55E3" w:rsidRDefault="00AB0B9C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360" w:lineRule="auto"/>
        <w:jc w:val="both"/>
        <w:rPr>
          <w:rFonts w:ascii="Arial" w:hAnsi="Arial" w:cs="Arial"/>
        </w:rPr>
      </w:pPr>
      <w:r w:rsidRPr="008A55E3">
        <w:rPr>
          <w:rFonts w:ascii="Arial" w:hAnsi="Arial" w:cs="Arial"/>
          <w:b/>
        </w:rPr>
        <w:lastRenderedPageBreak/>
        <w:t>Producto 2</w:t>
      </w:r>
      <w:r w:rsidRPr="008A55E3">
        <w:rPr>
          <w:rFonts w:ascii="Arial" w:hAnsi="Arial" w:cs="Arial"/>
        </w:rPr>
        <w:t xml:space="preserve">: Informe de Avance que incluya la </w:t>
      </w:r>
      <w:r w:rsidRPr="008A55E3">
        <w:rPr>
          <w:rFonts w:ascii="Arial" w:hAnsi="Arial" w:cs="Arial"/>
        </w:rPr>
        <w:t>propuesta de una estructura flexible para el laboratorio de gobierno, las propuestas de uso de herramientas de innovación disruptiva, a los 60 días de iniciada la Consultoría.</w:t>
      </w:r>
    </w:p>
    <w:p w:rsidR="00502C7E" w:rsidRPr="008A55E3" w:rsidRDefault="00AB0B9C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360" w:lineRule="auto"/>
        <w:jc w:val="both"/>
        <w:rPr>
          <w:rFonts w:ascii="Arial" w:hAnsi="Arial" w:cs="Arial"/>
          <w:b/>
        </w:rPr>
      </w:pPr>
      <w:r w:rsidRPr="008A55E3">
        <w:rPr>
          <w:rFonts w:ascii="Arial" w:hAnsi="Arial" w:cs="Arial"/>
          <w:b/>
        </w:rPr>
        <w:t>Producto 3</w:t>
      </w:r>
      <w:r w:rsidRPr="008A55E3">
        <w:rPr>
          <w:rFonts w:ascii="Arial" w:hAnsi="Arial" w:cs="Arial"/>
        </w:rPr>
        <w:t>: Informe de Avance que la propuesta un curso en línea de innovación p</w:t>
      </w:r>
      <w:r w:rsidRPr="008A55E3">
        <w:rPr>
          <w:rFonts w:ascii="Arial" w:hAnsi="Arial" w:cs="Arial"/>
        </w:rPr>
        <w:t>ública que incluya (Diseño del concepto curricular del curso, Identificación de docentes, Criterios de evaluación para definir la institución que lo vaya a implementar, a los 90 días de iniciada la Consultoría.</w:t>
      </w:r>
      <w:r w:rsidRPr="008A55E3">
        <w:rPr>
          <w:rFonts w:ascii="Arial" w:hAnsi="Arial" w:cs="Arial"/>
          <w:b/>
        </w:rPr>
        <w:t xml:space="preserve"> </w:t>
      </w:r>
    </w:p>
    <w:p w:rsidR="00502C7E" w:rsidRPr="008A55E3" w:rsidRDefault="00AB0B9C">
      <w:pPr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0" w:line="360" w:lineRule="auto"/>
        <w:jc w:val="both"/>
        <w:rPr>
          <w:rFonts w:ascii="Arial" w:hAnsi="Arial" w:cs="Arial"/>
        </w:rPr>
      </w:pPr>
      <w:r w:rsidRPr="008A55E3">
        <w:rPr>
          <w:rFonts w:ascii="Arial" w:hAnsi="Arial" w:cs="Arial"/>
          <w:b/>
        </w:rPr>
        <w:t>Producto 4</w:t>
      </w:r>
      <w:r w:rsidRPr="008A55E3">
        <w:rPr>
          <w:rFonts w:ascii="Arial" w:hAnsi="Arial" w:cs="Arial"/>
        </w:rPr>
        <w:t>: Informe de Avance que la hoja de</w:t>
      </w:r>
      <w:r w:rsidRPr="008A55E3">
        <w:rPr>
          <w:rFonts w:ascii="Arial" w:hAnsi="Arial" w:cs="Arial"/>
        </w:rPr>
        <w:t xml:space="preserve"> ruta de innovación, lógicas de innovación abierta, dinámicas de captación y </w:t>
      </w:r>
      <w:proofErr w:type="spellStart"/>
      <w:r w:rsidRPr="008A55E3">
        <w:rPr>
          <w:rFonts w:ascii="Arial" w:hAnsi="Arial" w:cs="Arial"/>
        </w:rPr>
        <w:t>co-creación</w:t>
      </w:r>
      <w:proofErr w:type="spellEnd"/>
      <w:r w:rsidRPr="008A55E3">
        <w:rPr>
          <w:rFonts w:ascii="Arial" w:hAnsi="Arial" w:cs="Arial"/>
        </w:rPr>
        <w:t xml:space="preserve"> de ideas con los ciudadanos y las propuestas de metodologías de innovación abierta, de transferencia de buenas prácticas, a los 120 días de iniciada la Consultoría.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>Cronograma de Pagos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Se realizará un pago inicial del 20% contra entrega del Producto 1;</w:t>
      </w:r>
    </w:p>
    <w:p w:rsidR="00502C7E" w:rsidRPr="008A55E3" w:rsidRDefault="00AB0B9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Se realizará un segundo pago del 20% contra entrega del Producto 2;</w:t>
      </w:r>
    </w:p>
    <w:p w:rsidR="00502C7E" w:rsidRPr="008A55E3" w:rsidRDefault="00AB0B9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A55E3">
        <w:rPr>
          <w:rFonts w:ascii="Arial" w:hAnsi="Arial" w:cs="Arial"/>
        </w:rPr>
        <w:t>Se realizará un tercer pago del 30% contra entrega del Producto 3</w:t>
      </w:r>
    </w:p>
    <w:p w:rsidR="00502C7E" w:rsidRPr="008A55E3" w:rsidRDefault="00AB0B9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bookmarkStart w:id="7" w:name="_Hlk489824351"/>
      <w:r w:rsidRPr="008A55E3">
        <w:rPr>
          <w:rFonts w:ascii="Arial" w:hAnsi="Arial" w:cs="Arial"/>
        </w:rPr>
        <w:t>Se realizará un cuarto pago del 3</w:t>
      </w:r>
      <w:r w:rsidRPr="008A55E3">
        <w:rPr>
          <w:rFonts w:ascii="Arial" w:hAnsi="Arial" w:cs="Arial"/>
        </w:rPr>
        <w:t xml:space="preserve">0% contra entrega del Producto </w:t>
      </w:r>
      <w:bookmarkEnd w:id="7"/>
      <w:r w:rsidRPr="008A55E3">
        <w:rPr>
          <w:rFonts w:ascii="Arial" w:hAnsi="Arial" w:cs="Arial"/>
        </w:rPr>
        <w:t>4.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 xml:space="preserve">Calificaciones 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pStyle w:val="Prrafode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lang w:val="es-ES" w:eastAsia="en-US"/>
        </w:rPr>
      </w:pPr>
      <w:r w:rsidRPr="008A55E3">
        <w:rPr>
          <w:rFonts w:ascii="Arial" w:hAnsi="Arial" w:cs="Arial"/>
          <w:b/>
          <w:lang w:val="es-ES" w:eastAsia="en-US"/>
        </w:rPr>
        <w:t>Título/Nivel Académico &amp; Años de Experiencia Profesional:</w:t>
      </w:r>
      <w:r w:rsidRPr="008A55E3">
        <w:rPr>
          <w:rFonts w:ascii="Arial" w:hAnsi="Arial" w:cs="Arial"/>
          <w:lang w:val="es-ES" w:eastAsia="en-US"/>
        </w:rPr>
        <w:t xml:space="preserve"> experiencia demostrable en la implementación de laboratorios de innovación de servicios públicos, diseño e implementación de modelos de gestión de</w:t>
      </w:r>
      <w:r w:rsidRPr="008A55E3">
        <w:rPr>
          <w:rFonts w:ascii="Arial" w:hAnsi="Arial" w:cs="Arial"/>
          <w:lang w:val="es-ES" w:eastAsia="en-US"/>
        </w:rPr>
        <w:t xml:space="preserve"> la innovación, modelos de innovación para empresas, administraciones y universidades, así como proyectos estratégicos de crecimiento empresarial y territorial.</w:t>
      </w:r>
    </w:p>
    <w:p w:rsidR="00502C7E" w:rsidRPr="008A55E3" w:rsidRDefault="00AB0B9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es-ES" w:eastAsia="en-US"/>
        </w:rPr>
      </w:pPr>
      <w:r w:rsidRPr="008A55E3">
        <w:rPr>
          <w:rFonts w:ascii="Arial" w:hAnsi="Arial" w:cs="Arial"/>
          <w:b/>
          <w:lang w:val="es-ES" w:eastAsia="en-US"/>
        </w:rPr>
        <w:t>Idiomas:</w:t>
      </w:r>
      <w:r w:rsidRPr="008A55E3">
        <w:rPr>
          <w:rFonts w:ascii="Arial" w:hAnsi="Arial" w:cs="Arial"/>
          <w:lang w:val="es-ES" w:eastAsia="en-US"/>
        </w:rPr>
        <w:t xml:space="preserve"> español.</w:t>
      </w:r>
    </w:p>
    <w:p w:rsidR="00502C7E" w:rsidRPr="008A55E3" w:rsidRDefault="00AB0B9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lang w:val="es-ES" w:eastAsia="en-US"/>
        </w:rPr>
      </w:pPr>
      <w:r w:rsidRPr="008A55E3">
        <w:rPr>
          <w:rFonts w:ascii="Arial" w:hAnsi="Arial" w:cs="Arial"/>
          <w:b/>
          <w:lang w:val="es-ES" w:eastAsia="en-US"/>
        </w:rPr>
        <w:t>Áreas de Especialización:</w:t>
      </w:r>
      <w:r w:rsidRPr="008A55E3">
        <w:rPr>
          <w:rFonts w:ascii="Arial" w:hAnsi="Arial" w:cs="Arial"/>
          <w:lang w:val="es-ES" w:eastAsia="en-US"/>
        </w:rPr>
        <w:t xml:space="preserve"> Mínimo 5 años de experiencia diseño e implantación </w:t>
      </w:r>
      <w:r w:rsidRPr="008A55E3">
        <w:rPr>
          <w:rFonts w:ascii="Arial" w:hAnsi="Arial" w:cs="Arial"/>
          <w:lang w:val="es-ES" w:eastAsia="en-US"/>
        </w:rPr>
        <w:t>de laboratorios de innovación en organismos públicos de países de Latinoamérica y el Caribe</w:t>
      </w:r>
      <w:r w:rsidRPr="008A55E3">
        <w:rPr>
          <w:rFonts w:ascii="Arial" w:hAnsi="Arial" w:cs="Arial"/>
          <w:b/>
          <w:lang w:val="es-ES" w:eastAsia="en-US"/>
        </w:rPr>
        <w:t>.</w:t>
      </w:r>
    </w:p>
    <w:p w:rsidR="00502C7E" w:rsidRPr="008A55E3" w:rsidRDefault="00AB0B9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lang w:val="es-ES" w:eastAsia="en-US"/>
        </w:rPr>
      </w:pPr>
      <w:r w:rsidRPr="008A55E3">
        <w:rPr>
          <w:rFonts w:ascii="Arial" w:hAnsi="Arial" w:cs="Arial"/>
          <w:b/>
          <w:lang w:val="es-ES" w:eastAsia="en-US"/>
        </w:rPr>
        <w:t>Habilidades:</w:t>
      </w:r>
      <w:r w:rsidRPr="008A55E3">
        <w:rPr>
          <w:rFonts w:ascii="Arial" w:hAnsi="Arial" w:cs="Arial"/>
          <w:lang w:val="es-ES" w:eastAsia="en-US"/>
        </w:rPr>
        <w:t xml:space="preserve"> Realiza análisis a nivel profesional sobre asuntos correspondientes a una disciplina funcional específica. Contribuye con un importante componente en </w:t>
      </w:r>
      <w:r w:rsidRPr="008A55E3">
        <w:rPr>
          <w:rFonts w:ascii="Arial" w:hAnsi="Arial" w:cs="Arial"/>
          <w:lang w:val="es-ES" w:eastAsia="en-US"/>
        </w:rPr>
        <w:t xml:space="preserve">informes de proyectos y apoya a jefes de equipo a nivel técnico. Brinda asesoramiento técnico o </w:t>
      </w:r>
      <w:r w:rsidRPr="008A55E3">
        <w:rPr>
          <w:rFonts w:ascii="Arial" w:hAnsi="Arial" w:cs="Arial"/>
          <w:lang w:val="es-ES" w:eastAsia="en-US"/>
        </w:rPr>
        <w:lastRenderedPageBreak/>
        <w:t>sobre políticas. El trabajo se realiza bajo supervisión limitada en la mayoría de las etapas.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8A55E3">
        <w:rPr>
          <w:rFonts w:ascii="Arial" w:hAnsi="Arial" w:cs="Arial"/>
          <w:b/>
          <w:bCs/>
        </w:rPr>
        <w:t>Características de la Consultoría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b/>
          <w:lang w:eastAsia="en-US"/>
        </w:rPr>
      </w:pPr>
    </w:p>
    <w:p w:rsidR="00502C7E" w:rsidRPr="008A55E3" w:rsidRDefault="00AB0B9C">
      <w:pPr>
        <w:pStyle w:val="Prrafodelista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Arial" w:hAnsi="Arial" w:cs="Arial"/>
          <w:lang w:val="es-ES"/>
        </w:rPr>
      </w:pPr>
      <w:r w:rsidRPr="008A55E3">
        <w:rPr>
          <w:rFonts w:ascii="Arial" w:hAnsi="Arial" w:cs="Arial"/>
          <w:b/>
          <w:lang w:val="es-ES" w:eastAsia="en-US"/>
        </w:rPr>
        <w:t xml:space="preserve">Categoría y Modalidad de la Consultoría: </w:t>
      </w:r>
      <w:r w:rsidRPr="008A55E3">
        <w:rPr>
          <w:rFonts w:ascii="Arial" w:hAnsi="Arial" w:cs="Arial"/>
          <w:lang w:val="es-ES"/>
        </w:rPr>
        <w:t>Contractual de Productos y Servicios Externos, Suma Alzada</w:t>
      </w:r>
    </w:p>
    <w:p w:rsidR="00502C7E" w:rsidRPr="008A55E3" w:rsidRDefault="00AB0B9C">
      <w:pPr>
        <w:pStyle w:val="Prrafode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lang w:val="es-ES" w:eastAsia="en-US"/>
        </w:rPr>
      </w:pPr>
      <w:r w:rsidRPr="008A55E3">
        <w:rPr>
          <w:rFonts w:ascii="Arial" w:hAnsi="Arial" w:cs="Arial"/>
          <w:b/>
          <w:lang w:val="es-ES" w:eastAsia="en-US"/>
        </w:rPr>
        <w:t xml:space="preserve">Duración del Contrato: </w:t>
      </w:r>
      <w:r w:rsidRPr="008A55E3">
        <w:rPr>
          <w:rFonts w:ascii="Arial" w:hAnsi="Arial" w:cs="Arial"/>
          <w:lang w:val="es-ES" w:eastAsia="en-US"/>
        </w:rPr>
        <w:t>4 meses</w:t>
      </w:r>
    </w:p>
    <w:p w:rsidR="00502C7E" w:rsidRPr="008A55E3" w:rsidRDefault="00AB0B9C">
      <w:pPr>
        <w:pStyle w:val="Prrafode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hAnsi="Arial" w:cs="Arial"/>
          <w:lang w:val="es-ES" w:eastAsia="en-US"/>
        </w:rPr>
      </w:pPr>
      <w:r w:rsidRPr="008A55E3">
        <w:rPr>
          <w:rFonts w:ascii="Arial" w:hAnsi="Arial" w:cs="Arial"/>
          <w:b/>
          <w:lang w:val="es-ES" w:eastAsia="en-US"/>
        </w:rPr>
        <w:t xml:space="preserve">Lugar de trabajo: </w:t>
      </w:r>
      <w:r w:rsidRPr="008A55E3">
        <w:rPr>
          <w:rFonts w:ascii="Arial" w:hAnsi="Arial" w:cs="Arial"/>
          <w:lang w:val="es-ES" w:eastAsia="en-US"/>
        </w:rPr>
        <w:t>Asunción, Paraguay</w:t>
      </w:r>
    </w:p>
    <w:p w:rsidR="00502C7E" w:rsidRPr="008A55E3" w:rsidRDefault="00AB0B9C">
      <w:pPr>
        <w:pStyle w:val="Prrafode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Arial" w:eastAsia="Times New Roman" w:hAnsi="Arial" w:cs="Arial"/>
          <w:lang w:eastAsia="en-US"/>
        </w:rPr>
      </w:pPr>
      <w:r w:rsidRPr="008A55E3">
        <w:rPr>
          <w:rFonts w:ascii="Arial" w:hAnsi="Arial" w:cs="Arial"/>
          <w:b/>
          <w:lang w:val="es-ES" w:eastAsia="en-US"/>
        </w:rPr>
        <w:t xml:space="preserve">Coordinación: </w:t>
      </w:r>
      <w:r w:rsidRPr="008A55E3">
        <w:rPr>
          <w:rFonts w:ascii="Arial" w:hAnsi="Arial" w:cs="Arial"/>
          <w:lang w:val="es-ES" w:eastAsia="en-US"/>
        </w:rPr>
        <w:t xml:space="preserve">Esta consultoría será coordinada por Jean Eric </w:t>
      </w:r>
      <w:proofErr w:type="spellStart"/>
      <w:r w:rsidRPr="008A55E3">
        <w:rPr>
          <w:rFonts w:ascii="Arial" w:hAnsi="Arial" w:cs="Arial"/>
          <w:lang w:val="es-ES" w:eastAsia="en-US"/>
        </w:rPr>
        <w:t>Theinhardt</w:t>
      </w:r>
      <w:proofErr w:type="spellEnd"/>
      <w:r w:rsidRPr="008A55E3">
        <w:rPr>
          <w:rFonts w:ascii="Arial" w:hAnsi="Arial" w:cs="Arial"/>
          <w:lang w:val="es-ES" w:eastAsia="en-US"/>
        </w:rPr>
        <w:t xml:space="preserve">, Jefe de </w:t>
      </w:r>
      <w:r w:rsidRPr="008A55E3">
        <w:rPr>
          <w:rFonts w:ascii="Arial" w:hAnsi="Arial" w:cs="Arial"/>
          <w:lang w:val="es-ES" w:eastAsia="en-US"/>
        </w:rPr>
        <w:t xml:space="preserve">Equipo en coordinación con la </w:t>
      </w:r>
      <w:proofErr w:type="spellStart"/>
      <w:r w:rsidRPr="008A55E3">
        <w:rPr>
          <w:rFonts w:ascii="Arial" w:hAnsi="Arial" w:cs="Arial"/>
          <w:lang w:val="es-ES" w:eastAsia="en-US"/>
        </w:rPr>
        <w:t>SENATICs</w:t>
      </w:r>
      <w:proofErr w:type="spellEnd"/>
      <w:r w:rsidRPr="008A55E3">
        <w:rPr>
          <w:rFonts w:ascii="Arial" w:hAnsi="Arial" w:cs="Arial"/>
          <w:lang w:val="es-ES" w:eastAsia="en-US"/>
        </w:rPr>
        <w:t>, contraparte técnica de la operación</w:t>
      </w:r>
      <w:r w:rsidRPr="008A55E3">
        <w:rPr>
          <w:rFonts w:ascii="Arial" w:eastAsia="Times New Roman" w:hAnsi="Arial" w:cs="Arial"/>
          <w:lang w:eastAsia="en-US"/>
        </w:rPr>
        <w:t xml:space="preserve">. </w:t>
      </w:r>
    </w:p>
    <w:p w:rsidR="00502C7E" w:rsidRPr="008A55E3" w:rsidRDefault="00502C7E">
      <w:pPr>
        <w:tabs>
          <w:tab w:val="left" w:pos="6024"/>
        </w:tabs>
        <w:spacing w:after="0" w:line="360" w:lineRule="auto"/>
        <w:jc w:val="both"/>
        <w:rPr>
          <w:rFonts w:ascii="Arial" w:hAnsi="Arial" w:cs="Arial"/>
          <w:b/>
          <w:bCs/>
          <w:lang w:eastAsia="en-US"/>
        </w:rPr>
      </w:pPr>
    </w:p>
    <w:p w:rsidR="00502C7E" w:rsidRPr="008A55E3" w:rsidRDefault="00AB0B9C">
      <w:pPr>
        <w:tabs>
          <w:tab w:val="left" w:pos="6024"/>
        </w:tabs>
        <w:spacing w:after="0" w:line="360" w:lineRule="auto"/>
        <w:jc w:val="both"/>
        <w:rPr>
          <w:rFonts w:ascii="Arial" w:hAnsi="Arial" w:cs="Arial"/>
          <w:lang w:eastAsia="en-US"/>
        </w:rPr>
      </w:pPr>
      <w:r w:rsidRPr="008A55E3">
        <w:rPr>
          <w:rFonts w:ascii="Arial" w:hAnsi="Arial" w:cs="Arial"/>
          <w:b/>
          <w:bCs/>
          <w:lang w:eastAsia="en-US"/>
        </w:rPr>
        <w:t>Pago y Condiciones:</w:t>
      </w:r>
      <w:r w:rsidRPr="008A55E3">
        <w:rPr>
          <w:rFonts w:ascii="Arial" w:hAnsi="Arial" w:cs="Arial"/>
          <w:lang w:eastAsia="en-US"/>
        </w:rPr>
        <w:t xml:space="preserve"> La compensación será determinada de acuerdo a las políticas y procedimientos del Banco. Adicionalmente, los candidatos deberán ser ciudadanos de uno de los p</w:t>
      </w:r>
      <w:r w:rsidRPr="008A55E3">
        <w:rPr>
          <w:rFonts w:ascii="Arial" w:hAnsi="Arial" w:cs="Arial"/>
          <w:lang w:eastAsia="en-US"/>
        </w:rPr>
        <w:t xml:space="preserve">aíses miembros del BID. 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lang w:eastAsia="en-US"/>
        </w:rPr>
      </w:pPr>
      <w:r w:rsidRPr="008A55E3">
        <w:rPr>
          <w:rFonts w:ascii="Arial" w:hAnsi="Arial" w:cs="Arial"/>
          <w:b/>
          <w:bCs/>
          <w:lang w:eastAsia="en-US"/>
        </w:rPr>
        <w:t>Consanguinidad:</w:t>
      </w:r>
      <w:r w:rsidRPr="008A55E3">
        <w:rPr>
          <w:rFonts w:ascii="Arial" w:hAnsi="Arial" w:cs="Arial"/>
          <w:lang w:eastAsia="en-US"/>
        </w:rPr>
        <w:t xml:space="preserve"> De conformidad con la política del Banco aplicable, los candidatos con parientes (incluyendo cuarto grado de consanguinidad y segundo grado de afinidad, incluyendo conyugue) que trabajan para el Banco como funciona</w:t>
      </w:r>
      <w:r w:rsidRPr="008A55E3">
        <w:rPr>
          <w:rFonts w:ascii="Arial" w:hAnsi="Arial" w:cs="Arial"/>
          <w:lang w:eastAsia="en-US"/>
        </w:rPr>
        <w:t>rio o contractual de la fuerza contractual complementaria, no serán elegibles para proveer servicios al Banco.</w:t>
      </w:r>
    </w:p>
    <w:p w:rsidR="00502C7E" w:rsidRPr="008A55E3" w:rsidRDefault="00502C7E">
      <w:pPr>
        <w:spacing w:after="0" w:line="360" w:lineRule="auto"/>
        <w:jc w:val="both"/>
        <w:rPr>
          <w:rFonts w:ascii="Arial" w:hAnsi="Arial" w:cs="Arial"/>
          <w:lang w:eastAsia="en-US"/>
        </w:rPr>
      </w:pPr>
    </w:p>
    <w:p w:rsidR="00502C7E" w:rsidRPr="008A55E3" w:rsidRDefault="00AB0B9C">
      <w:pPr>
        <w:spacing w:after="0" w:line="360" w:lineRule="auto"/>
        <w:jc w:val="both"/>
        <w:rPr>
          <w:rFonts w:ascii="Arial" w:hAnsi="Arial" w:cs="Arial"/>
          <w:lang w:eastAsia="en-US"/>
        </w:rPr>
      </w:pPr>
      <w:r w:rsidRPr="008A55E3">
        <w:rPr>
          <w:rFonts w:ascii="Arial" w:hAnsi="Arial" w:cs="Arial"/>
          <w:b/>
          <w:bCs/>
          <w:lang w:eastAsia="en-US"/>
        </w:rPr>
        <w:t>Diversidad:</w:t>
      </w:r>
      <w:r w:rsidRPr="008A55E3">
        <w:rPr>
          <w:rFonts w:ascii="Arial" w:hAnsi="Arial" w:cs="Arial"/>
          <w:lang w:eastAsia="en-US"/>
        </w:rPr>
        <w:t xml:space="preserve"> El Banco está comprometido con la diversidad e inclusión y la igualdad de oportunidades para todos los candidatos. Acogemos la diver</w:t>
      </w:r>
      <w:r w:rsidRPr="008A55E3">
        <w:rPr>
          <w:rFonts w:ascii="Arial" w:hAnsi="Arial" w:cs="Arial"/>
          <w:lang w:eastAsia="en-US"/>
        </w:rPr>
        <w:t>sidad sobre la base de género, edad, educación, origen nacional, origen étnico, raza, discapacidad, orientación sexual, religión, y estatus de VIH/SIDA. Alentamos a aplicar a mujeres, afrodescendientes y a personas de origen indígena.</w:t>
      </w:r>
    </w:p>
    <w:p w:rsidR="00502C7E" w:rsidRPr="008A55E3" w:rsidRDefault="00502C7E">
      <w:pPr>
        <w:spacing w:after="0" w:line="360" w:lineRule="auto"/>
      </w:pPr>
    </w:p>
    <w:sectPr w:rsidR="00502C7E" w:rsidRPr="008A55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B9C" w:rsidRDefault="00AB0B9C">
      <w:pPr>
        <w:spacing w:after="0" w:line="240" w:lineRule="auto"/>
      </w:pPr>
      <w:r>
        <w:separator/>
      </w:r>
    </w:p>
  </w:endnote>
  <w:endnote w:type="continuationSeparator" w:id="0">
    <w:p w:rsidR="00AB0B9C" w:rsidRDefault="00AB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B9C" w:rsidRDefault="00AB0B9C">
      <w:r>
        <w:separator/>
      </w:r>
    </w:p>
  </w:footnote>
  <w:footnote w:type="continuationSeparator" w:id="0">
    <w:p w:rsidR="00AB0B9C" w:rsidRDefault="00AB0B9C">
      <w:r>
        <w:continuationSeparator/>
      </w:r>
    </w:p>
  </w:footnote>
  <w:footnote w:id="1">
    <w:p w:rsidR="00502C7E" w:rsidRDefault="00AB0B9C">
      <w:pPr>
        <w:pStyle w:val="Textonotapie"/>
        <w:ind w:left="180" w:hanging="266"/>
        <w:jc w:val="both"/>
        <w:rPr>
          <w:rFonts w:ascii="Arial" w:hAnsi="Arial" w:cs="Arial"/>
          <w:sz w:val="18"/>
          <w:szCs w:val="18"/>
        </w:rPr>
      </w:pPr>
      <w:r>
        <w:rPr>
          <w:rStyle w:val="Refdenotaalpie"/>
          <w:rFonts w:ascii="Arial" w:hAnsi="Arial" w:cs="Arial"/>
          <w:sz w:val="18"/>
          <w:szCs w:val="18"/>
        </w:rPr>
        <w:footnoteRef/>
      </w:r>
      <w:r>
        <w:rPr>
          <w:rStyle w:val="Refdenotaalpie"/>
          <w:rFonts w:ascii="Arial" w:hAnsi="Arial" w:cs="Arial"/>
          <w:sz w:val="18"/>
          <w:szCs w:val="18"/>
        </w:rPr>
        <w:tab/>
      </w:r>
      <w:r>
        <w:rPr>
          <w:rStyle w:val="Refdenotaalpie"/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El SENATICS fue establecido mediante Ley </w:t>
      </w:r>
      <w:proofErr w:type="spellStart"/>
      <w:r>
        <w:rPr>
          <w:rFonts w:ascii="Arial" w:hAnsi="Arial" w:cs="Arial"/>
          <w:sz w:val="18"/>
          <w:szCs w:val="18"/>
        </w:rPr>
        <w:t>N°</w:t>
      </w:r>
      <w:proofErr w:type="spellEnd"/>
      <w:r>
        <w:rPr>
          <w:rFonts w:ascii="Arial" w:hAnsi="Arial" w:cs="Arial"/>
          <w:sz w:val="18"/>
          <w:szCs w:val="18"/>
        </w:rPr>
        <w:t xml:space="preserve"> 4989/13.</w:t>
      </w:r>
    </w:p>
  </w:footnote>
  <w:footnote w:id="2">
    <w:p w:rsidR="00502C7E" w:rsidRDefault="00AB0B9C">
      <w:pPr>
        <w:pStyle w:val="Textonotapie"/>
        <w:ind w:left="360" w:hanging="446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Style w:val="Refdenotaalpie"/>
          <w:rFonts w:ascii="Arial" w:hAnsi="Arial" w:cs="Arial"/>
          <w:sz w:val="18"/>
          <w:szCs w:val="18"/>
        </w:rPr>
        <w:footnoteRef/>
      </w:r>
      <w:r>
        <w:rPr>
          <w:rStyle w:val="Refdenotaalpie"/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Decreto Ejecutivo 11.624/13 y el 5323/16 que reglamenta Ley 4989</w:t>
      </w:r>
    </w:p>
  </w:footnote>
  <w:footnote w:id="3">
    <w:p w:rsidR="00502C7E" w:rsidRDefault="00AB0B9C">
      <w:pPr>
        <w:pStyle w:val="Textonotapie"/>
        <w:ind w:left="360" w:hanging="446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footnoteRef/>
      </w:r>
      <w:r>
        <w:rPr>
          <w:rFonts w:ascii="Arial" w:hAnsi="Arial" w:cs="Arial"/>
          <w:sz w:val="18"/>
          <w:szCs w:val="18"/>
          <w:vertAlign w:val="superscript"/>
        </w:rPr>
        <w:tab/>
      </w:r>
      <w:r>
        <w:rPr>
          <w:rFonts w:ascii="Arial" w:hAnsi="Arial" w:cs="Arial"/>
          <w:sz w:val="18"/>
          <w:szCs w:val="18"/>
        </w:rPr>
        <w:t xml:space="preserve"> Aprobado por Decreto Ejecutivo 7706/2011</w:t>
      </w:r>
    </w:p>
  </w:footnote>
  <w:footnote w:id="4">
    <w:p w:rsidR="00502C7E" w:rsidRDefault="00AB0B9C">
      <w:pPr>
        <w:pStyle w:val="Textonotapie"/>
        <w:ind w:left="360" w:hanging="446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vertAlign w:val="superscript"/>
        </w:rPr>
        <w:footnoteRef/>
      </w:r>
      <w:r>
        <w:rPr>
          <w:rFonts w:ascii="Arial" w:hAnsi="Arial" w:cs="Arial"/>
          <w:sz w:val="18"/>
          <w:szCs w:val="18"/>
          <w:vertAlign w:val="superscript"/>
        </w:rPr>
        <w:tab/>
        <w:t xml:space="preserve"> </w:t>
      </w:r>
      <w:r>
        <w:rPr>
          <w:rFonts w:ascii="Arial" w:hAnsi="Arial" w:cs="Arial"/>
          <w:sz w:val="18"/>
          <w:szCs w:val="18"/>
        </w:rPr>
        <w:t>Aprobado por Decreto Ejecutivo 2794/2014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1C21"/>
    <w:multiLevelType w:val="multilevel"/>
    <w:tmpl w:val="8B663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07ED3"/>
    <w:multiLevelType w:val="multilevel"/>
    <w:tmpl w:val="8474F7C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533932"/>
    <w:multiLevelType w:val="multilevel"/>
    <w:tmpl w:val="D7D0D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E04862"/>
    <w:multiLevelType w:val="multilevel"/>
    <w:tmpl w:val="382A1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9601F8"/>
    <w:multiLevelType w:val="multilevel"/>
    <w:tmpl w:val="91FC11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E3A3CF4"/>
    <w:multiLevelType w:val="multilevel"/>
    <w:tmpl w:val="4F945C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C7E"/>
    <w:rsid w:val="00502C7E"/>
    <w:rsid w:val="008A55E3"/>
    <w:rsid w:val="00A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0863"/>
  <w15:docId w15:val="{BE0E0379-900B-4DC0-8B0E-38ADA578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ejaVu Sans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ParagraphChar">
    <w:name w:val="List Paragraph Char"/>
    <w:rPr>
      <w:lang w:val="es-PY" w:eastAsia="es-PY"/>
    </w:rPr>
  </w:style>
  <w:style w:type="character" w:customStyle="1" w:styleId="FootnoteTextChar">
    <w:name w:val="Footnote Text Char"/>
    <w:basedOn w:val="Fuentedeprrafopredeter"/>
    <w:rPr>
      <w:rFonts w:ascii="Times New Roman" w:eastAsia="Times New Roman" w:hAnsi="Times New Roman" w:cs="Times New Roman"/>
      <w:sz w:val="20"/>
      <w:szCs w:val="20"/>
      <w:lang w:val="es-PY" w:eastAsia="es-PY"/>
    </w:rPr>
  </w:style>
  <w:style w:type="character" w:styleId="Refdenotaalpie">
    <w:name w:val="footnote reference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ListLabel1">
    <w:name w:val="ListLabel 1"/>
    <w:rPr>
      <w:lang w:val="es-PY"/>
    </w:rPr>
  </w:style>
  <w:style w:type="character" w:customStyle="1" w:styleId="ListLabel2">
    <w:name w:val="ListLabel 2"/>
    <w:rPr>
      <w:rFonts w:cs="Courier New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Arial" w:eastAsia="DejaVu Sans" w:hAnsi="Arial" w:cs="Arial"/>
      <w:color w:val="000000"/>
      <w:sz w:val="24"/>
      <w:szCs w:val="24"/>
    </w:rPr>
  </w:style>
  <w:style w:type="paragraph" w:styleId="Textonotapie">
    <w:name w:val="footnote text"/>
    <w:basedOn w:val="Normal"/>
    <w:pPr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1603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Theinhardt, Jean Eric</dc:creator>
  <cp:lastModifiedBy>Dora Cristaldo</cp:lastModifiedBy>
  <cp:revision>3</cp:revision>
  <dcterms:created xsi:type="dcterms:W3CDTF">2018-06-08T12:50:00Z</dcterms:created>
  <dcterms:modified xsi:type="dcterms:W3CDTF">2019-05-30T16:53:00Z</dcterms:modified>
</cp:coreProperties>
</file>