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2"/>
      </w:tblGrid>
      <w:tr w:rsidR="001E6580" w:rsidTr="001E6580">
        <w:tc>
          <w:tcPr>
            <w:tcW w:w="6142" w:type="dxa"/>
          </w:tcPr>
          <w:p w:rsidR="001E6580" w:rsidRDefault="001E6580" w:rsidP="00F67C37">
            <w:r>
              <w:t>AGENIS-NEVERS Marc</w:t>
            </w:r>
          </w:p>
        </w:tc>
      </w:tr>
      <w:tr w:rsidR="001E6580" w:rsidTr="001E6580">
        <w:tc>
          <w:tcPr>
            <w:tcW w:w="6142" w:type="dxa"/>
          </w:tcPr>
          <w:p w:rsidR="001E6580" w:rsidRDefault="001E6580">
            <w:r>
              <w:t>Publication : 13/07/2016</w:t>
            </w:r>
          </w:p>
        </w:tc>
      </w:tr>
      <w:tr w:rsidR="001E6580" w:rsidTr="001E6580">
        <w:tc>
          <w:tcPr>
            <w:tcW w:w="6142" w:type="dxa"/>
          </w:tcPr>
          <w:p w:rsidR="001E6580" w:rsidRDefault="001E6580">
            <w:r>
              <w:t>Version </w:t>
            </w:r>
            <w:proofErr w:type="gramStart"/>
            <w:r>
              <w:t>:1.1</w:t>
            </w:r>
            <w:proofErr w:type="gramEnd"/>
          </w:p>
        </w:tc>
      </w:tr>
    </w:tbl>
    <w:p w:rsidR="00C822EA" w:rsidRPr="001E6580" w:rsidRDefault="00C822EA">
      <w:pPr>
        <w:rPr>
          <w:sz w:val="10"/>
        </w:rPr>
      </w:pPr>
    </w:p>
    <w:p w:rsidR="00C822EA" w:rsidRDefault="00C822EA" w:rsidP="00C822EA">
      <w:pPr>
        <w:pStyle w:val="Titre"/>
      </w:pPr>
      <w:r>
        <w:t>Différence de compétitivité entre pays du monde, analyse statistique</w:t>
      </w:r>
    </w:p>
    <w:p w:rsidR="00C822EA" w:rsidRDefault="00C822EA" w:rsidP="006F09B6">
      <w:pPr>
        <w:pStyle w:val="Citationintense"/>
      </w:pPr>
      <w:r>
        <w:t>Contexte</w:t>
      </w:r>
    </w:p>
    <w:p w:rsidR="00C822EA" w:rsidRDefault="00C822EA" w:rsidP="00C822EA">
      <w:pPr>
        <w:jc w:val="both"/>
      </w:pPr>
      <w:r>
        <w:t>En mai 2016 l’IMD (</w:t>
      </w:r>
      <w:r w:rsidRPr="00C822EA">
        <w:t xml:space="preserve">International Institute for Management </w:t>
      </w:r>
      <w:proofErr w:type="spellStart"/>
      <w:r w:rsidRPr="00C822EA">
        <w:t>Development</w:t>
      </w:r>
      <w:proofErr w:type="spellEnd"/>
      <w:r>
        <w:t xml:space="preserve">), institut indépendant </w:t>
      </w:r>
      <w:r w:rsidR="006F09B6">
        <w:t xml:space="preserve">et reconnu mondialement, </w:t>
      </w:r>
      <w:r>
        <w:t xml:space="preserve">basé à Lausanne (Suisse), a publié son classement annuel de la compétitivité mondiale. </w:t>
      </w:r>
      <w:r w:rsidR="006F09B6">
        <w:t>Il se focalise sur l’étude des entreprises et des stratégies au sein d’une base de 61 pays du monde</w:t>
      </w:r>
      <w:r w:rsidR="0011356B">
        <w:t xml:space="preserve"> (voir la liste en annexe)</w:t>
      </w:r>
      <w:r w:rsidR="006F09B6">
        <w:t xml:space="preserve">.  </w:t>
      </w:r>
    </w:p>
    <w:p w:rsidR="00B3763C" w:rsidRDefault="00274C6C" w:rsidP="00C822EA">
      <w:pPr>
        <w:jc w:val="both"/>
      </w:pPr>
      <w:r>
        <w:t xml:space="preserve">Le but de cette note est d’utiliser le score de compétitivité de l’ensemble de ces pays pour déterminer </w:t>
      </w:r>
      <w:r w:rsidR="00B3763C">
        <w:t>si des différences significatives apparaissent au regard de certains facteurs</w:t>
      </w:r>
      <w:r>
        <w:t xml:space="preserve"> </w:t>
      </w:r>
      <w:r w:rsidR="00EA2163">
        <w:t xml:space="preserve">géopolitiques </w:t>
      </w:r>
      <w:r>
        <w:t>comme la population, la superficie, l’appartenance à l’Un</w:t>
      </w:r>
      <w:r w:rsidR="00B3763C">
        <w:t xml:space="preserve">ion Européenne ou </w:t>
      </w:r>
      <w:r w:rsidR="00F67C37">
        <w:t xml:space="preserve">à </w:t>
      </w:r>
      <w:r w:rsidR="00B3763C">
        <w:t>la zone euro.</w:t>
      </w:r>
    </w:p>
    <w:p w:rsidR="00C822EA" w:rsidRDefault="00C822EA" w:rsidP="006F09B6">
      <w:pPr>
        <w:pStyle w:val="Citationintense"/>
      </w:pPr>
      <w:r>
        <w:t>Méthodologie</w:t>
      </w:r>
    </w:p>
    <w:p w:rsidR="0075003A" w:rsidRDefault="0075003A" w:rsidP="0075003A">
      <w:pPr>
        <w:pStyle w:val="Sous-titre"/>
      </w:pPr>
      <w:r>
        <w:t>Indicateur de compétitivité</w:t>
      </w:r>
    </w:p>
    <w:p w:rsidR="00C822EA" w:rsidRDefault="00C822EA" w:rsidP="00505D04">
      <w:pPr>
        <w:jc w:val="both"/>
      </w:pPr>
      <w:r>
        <w:t xml:space="preserve">La méthode utilisée pour créer l’indice de compétitivité est décrite sur le </w:t>
      </w:r>
      <w:proofErr w:type="gramStart"/>
      <w:r>
        <w:t>site</w:t>
      </w:r>
      <w:proofErr w:type="gramEnd"/>
      <w:r>
        <w:t> (</w:t>
      </w:r>
      <w:hyperlink r:id="rId9" w:history="1">
        <w:r w:rsidR="00E42947" w:rsidRPr="0039616E">
          <w:rPr>
            <w:rStyle w:val="Lienhypertexte"/>
          </w:rPr>
          <w:t>http://www.imd.org/wcc/research-methodology/</w:t>
        </w:r>
      </w:hyperlink>
      <w:r>
        <w:t>)</w:t>
      </w:r>
      <w:r w:rsidR="00E42947">
        <w:t>, elle consiste à agréger des indices de diverse nature</w:t>
      </w:r>
      <w:r>
        <w:t xml:space="preserve">: </w:t>
      </w:r>
    </w:p>
    <w:p w:rsidR="00C822EA" w:rsidRPr="00C822EA" w:rsidRDefault="00C822EA" w:rsidP="00505D04">
      <w:pPr>
        <w:pStyle w:val="Sansinterligne"/>
        <w:numPr>
          <w:ilvl w:val="0"/>
          <w:numId w:val="1"/>
        </w:numPr>
        <w:jc w:val="both"/>
        <w:rPr>
          <w:i/>
          <w:sz w:val="18"/>
        </w:rPr>
      </w:pPr>
      <w:proofErr w:type="spellStart"/>
      <w:r w:rsidRPr="00C822EA">
        <w:rPr>
          <w:i/>
          <w:sz w:val="18"/>
        </w:rPr>
        <w:t>Based</w:t>
      </w:r>
      <w:proofErr w:type="spellEnd"/>
      <w:r w:rsidRPr="00C822EA">
        <w:rPr>
          <w:i/>
          <w:sz w:val="18"/>
        </w:rPr>
        <w:t xml:space="preserve"> on </w:t>
      </w:r>
      <w:proofErr w:type="spellStart"/>
      <w:r w:rsidRPr="00C822EA">
        <w:rPr>
          <w:i/>
          <w:sz w:val="18"/>
        </w:rPr>
        <w:t>analysis</w:t>
      </w:r>
      <w:proofErr w:type="spellEnd"/>
      <w:r w:rsidRPr="00C822EA">
        <w:rPr>
          <w:i/>
          <w:sz w:val="18"/>
        </w:rPr>
        <w:t xml:space="preserve"> made by </w:t>
      </w:r>
      <w:proofErr w:type="spellStart"/>
      <w:r w:rsidRPr="00C822EA">
        <w:rPr>
          <w:i/>
          <w:sz w:val="18"/>
        </w:rPr>
        <w:t>leading</w:t>
      </w:r>
      <w:proofErr w:type="spellEnd"/>
      <w:r w:rsidRPr="00C822EA">
        <w:rPr>
          <w:i/>
          <w:sz w:val="18"/>
        </w:rPr>
        <w:t xml:space="preserve"> </w:t>
      </w:r>
      <w:proofErr w:type="spellStart"/>
      <w:r w:rsidRPr="00C822EA">
        <w:rPr>
          <w:i/>
          <w:sz w:val="18"/>
        </w:rPr>
        <w:t>scholars</w:t>
      </w:r>
      <w:proofErr w:type="spellEnd"/>
      <w:r w:rsidRPr="00C822EA">
        <w:rPr>
          <w:i/>
          <w:sz w:val="18"/>
        </w:rPr>
        <w:t xml:space="preserve"> and by </w:t>
      </w:r>
      <w:proofErr w:type="spellStart"/>
      <w:r w:rsidRPr="00C822EA">
        <w:rPr>
          <w:i/>
          <w:sz w:val="18"/>
        </w:rPr>
        <w:t>our</w:t>
      </w:r>
      <w:proofErr w:type="spellEnd"/>
      <w:r w:rsidRPr="00C822EA">
        <w:rPr>
          <w:i/>
          <w:sz w:val="18"/>
        </w:rPr>
        <w:t xml:space="preserve"> </w:t>
      </w:r>
      <w:proofErr w:type="spellStart"/>
      <w:r w:rsidRPr="00C822EA">
        <w:rPr>
          <w:i/>
          <w:sz w:val="18"/>
        </w:rPr>
        <w:t>own</w:t>
      </w:r>
      <w:proofErr w:type="spellEnd"/>
      <w:r w:rsidRPr="00C822EA">
        <w:rPr>
          <w:i/>
          <w:sz w:val="18"/>
        </w:rPr>
        <w:t xml:space="preserve"> </w:t>
      </w:r>
      <w:proofErr w:type="spellStart"/>
      <w:r w:rsidRPr="00C822EA">
        <w:rPr>
          <w:i/>
          <w:sz w:val="18"/>
        </w:rPr>
        <w:t>research</w:t>
      </w:r>
      <w:proofErr w:type="spellEnd"/>
      <w:r w:rsidRPr="00C822EA">
        <w:rPr>
          <w:i/>
          <w:sz w:val="18"/>
        </w:rPr>
        <w:t xml:space="preserve"> and </w:t>
      </w:r>
      <w:proofErr w:type="spellStart"/>
      <w:r w:rsidRPr="00C822EA">
        <w:rPr>
          <w:i/>
          <w:sz w:val="18"/>
        </w:rPr>
        <w:t>experience</w:t>
      </w:r>
      <w:proofErr w:type="spellEnd"/>
      <w:r w:rsidRPr="00C822EA">
        <w:rPr>
          <w:i/>
          <w:sz w:val="18"/>
        </w:rPr>
        <w:t xml:space="preserve">, </w:t>
      </w:r>
      <w:proofErr w:type="spellStart"/>
      <w:r w:rsidRPr="00C822EA">
        <w:rPr>
          <w:i/>
          <w:sz w:val="18"/>
        </w:rPr>
        <w:t>our</w:t>
      </w:r>
      <w:proofErr w:type="spellEnd"/>
      <w:r w:rsidRPr="00C822EA">
        <w:rPr>
          <w:i/>
          <w:sz w:val="18"/>
        </w:rPr>
        <w:t xml:space="preserve"> </w:t>
      </w:r>
      <w:proofErr w:type="spellStart"/>
      <w:r w:rsidRPr="00C822EA">
        <w:rPr>
          <w:i/>
          <w:sz w:val="18"/>
        </w:rPr>
        <w:t>methodology</w:t>
      </w:r>
      <w:proofErr w:type="spellEnd"/>
      <w:r w:rsidRPr="00C822EA">
        <w:rPr>
          <w:i/>
          <w:sz w:val="18"/>
        </w:rPr>
        <w:t xml:space="preserve"> </w:t>
      </w:r>
      <w:proofErr w:type="spellStart"/>
      <w:r w:rsidRPr="00C822EA">
        <w:rPr>
          <w:i/>
          <w:sz w:val="18"/>
        </w:rPr>
        <w:t>thus</w:t>
      </w:r>
      <w:proofErr w:type="spellEnd"/>
      <w:r w:rsidRPr="00C822EA">
        <w:rPr>
          <w:i/>
          <w:sz w:val="18"/>
        </w:rPr>
        <w:t xml:space="preserve"> </w:t>
      </w:r>
      <w:proofErr w:type="spellStart"/>
      <w:r w:rsidRPr="00C822EA">
        <w:rPr>
          <w:i/>
          <w:sz w:val="18"/>
        </w:rPr>
        <w:t>divides</w:t>
      </w:r>
      <w:proofErr w:type="spellEnd"/>
      <w:r w:rsidRPr="00C822EA">
        <w:rPr>
          <w:i/>
          <w:sz w:val="18"/>
        </w:rPr>
        <w:t xml:space="preserve"> the national </w:t>
      </w:r>
      <w:proofErr w:type="spellStart"/>
      <w:r w:rsidRPr="00C822EA">
        <w:rPr>
          <w:i/>
          <w:sz w:val="18"/>
        </w:rPr>
        <w:t>environment</w:t>
      </w:r>
      <w:proofErr w:type="spellEnd"/>
      <w:r w:rsidRPr="00C822EA">
        <w:rPr>
          <w:i/>
          <w:sz w:val="18"/>
        </w:rPr>
        <w:t xml:space="preserve"> </w:t>
      </w:r>
      <w:proofErr w:type="spellStart"/>
      <w:r w:rsidRPr="00C822EA">
        <w:rPr>
          <w:i/>
          <w:sz w:val="18"/>
        </w:rPr>
        <w:t>into</w:t>
      </w:r>
      <w:proofErr w:type="spellEnd"/>
      <w:r w:rsidRPr="00C822EA">
        <w:rPr>
          <w:i/>
          <w:sz w:val="18"/>
        </w:rPr>
        <w:t xml:space="preserve"> four main </w:t>
      </w:r>
      <w:proofErr w:type="spellStart"/>
      <w:r w:rsidRPr="00C822EA">
        <w:rPr>
          <w:i/>
          <w:sz w:val="18"/>
        </w:rPr>
        <w:t>factors</w:t>
      </w:r>
      <w:proofErr w:type="spellEnd"/>
      <w:r w:rsidRPr="00C822EA">
        <w:rPr>
          <w:i/>
          <w:sz w:val="18"/>
        </w:rPr>
        <w:t xml:space="preserve">: </w:t>
      </w:r>
    </w:p>
    <w:p w:rsidR="00C822EA" w:rsidRPr="00C822EA" w:rsidRDefault="00C822EA" w:rsidP="00505D04">
      <w:pPr>
        <w:pStyle w:val="Sansinterligne"/>
        <w:numPr>
          <w:ilvl w:val="1"/>
          <w:numId w:val="1"/>
        </w:numPr>
        <w:jc w:val="both"/>
        <w:rPr>
          <w:i/>
          <w:sz w:val="18"/>
        </w:rPr>
      </w:pPr>
      <w:proofErr w:type="spellStart"/>
      <w:r w:rsidRPr="00C822EA">
        <w:rPr>
          <w:i/>
          <w:sz w:val="18"/>
        </w:rPr>
        <w:t>Economic</w:t>
      </w:r>
      <w:proofErr w:type="spellEnd"/>
      <w:r w:rsidRPr="00C822EA">
        <w:rPr>
          <w:i/>
          <w:sz w:val="18"/>
        </w:rPr>
        <w:t xml:space="preserve"> Performance</w:t>
      </w:r>
    </w:p>
    <w:p w:rsidR="00C822EA" w:rsidRPr="00C822EA" w:rsidRDefault="00C822EA" w:rsidP="00505D04">
      <w:pPr>
        <w:pStyle w:val="Sansinterligne"/>
        <w:numPr>
          <w:ilvl w:val="1"/>
          <w:numId w:val="1"/>
        </w:numPr>
        <w:jc w:val="both"/>
        <w:rPr>
          <w:i/>
          <w:sz w:val="18"/>
        </w:rPr>
      </w:pPr>
      <w:proofErr w:type="spellStart"/>
      <w:r w:rsidRPr="00C822EA">
        <w:rPr>
          <w:i/>
          <w:sz w:val="18"/>
        </w:rPr>
        <w:t>Government</w:t>
      </w:r>
      <w:proofErr w:type="spellEnd"/>
      <w:r w:rsidRPr="00C822EA">
        <w:rPr>
          <w:i/>
          <w:sz w:val="18"/>
        </w:rPr>
        <w:t xml:space="preserve"> </w:t>
      </w:r>
      <w:proofErr w:type="spellStart"/>
      <w:r w:rsidRPr="00C822EA">
        <w:rPr>
          <w:i/>
          <w:sz w:val="18"/>
        </w:rPr>
        <w:t>Efficiency</w:t>
      </w:r>
      <w:proofErr w:type="spellEnd"/>
    </w:p>
    <w:p w:rsidR="00C822EA" w:rsidRPr="00C822EA" w:rsidRDefault="00C822EA" w:rsidP="00505D04">
      <w:pPr>
        <w:pStyle w:val="Sansinterligne"/>
        <w:numPr>
          <w:ilvl w:val="1"/>
          <w:numId w:val="1"/>
        </w:numPr>
        <w:jc w:val="both"/>
        <w:rPr>
          <w:i/>
          <w:sz w:val="18"/>
        </w:rPr>
      </w:pPr>
      <w:r w:rsidRPr="00C822EA">
        <w:rPr>
          <w:i/>
          <w:sz w:val="18"/>
        </w:rPr>
        <w:t xml:space="preserve">Business </w:t>
      </w:r>
      <w:proofErr w:type="spellStart"/>
      <w:r w:rsidRPr="00C822EA">
        <w:rPr>
          <w:i/>
          <w:sz w:val="18"/>
        </w:rPr>
        <w:t>Efficiency</w:t>
      </w:r>
      <w:proofErr w:type="spellEnd"/>
    </w:p>
    <w:p w:rsidR="00C822EA" w:rsidRPr="00C822EA" w:rsidRDefault="00C822EA" w:rsidP="00505D04">
      <w:pPr>
        <w:pStyle w:val="Sansinterligne"/>
        <w:numPr>
          <w:ilvl w:val="1"/>
          <w:numId w:val="1"/>
        </w:numPr>
        <w:jc w:val="both"/>
        <w:rPr>
          <w:i/>
          <w:sz w:val="18"/>
        </w:rPr>
      </w:pPr>
      <w:r w:rsidRPr="00C822EA">
        <w:rPr>
          <w:i/>
          <w:sz w:val="18"/>
        </w:rPr>
        <w:t>Infrastructure</w:t>
      </w:r>
    </w:p>
    <w:p w:rsidR="00C822EA" w:rsidRPr="00C822EA" w:rsidRDefault="00C822EA" w:rsidP="00505D04">
      <w:pPr>
        <w:pStyle w:val="Sansinterligne"/>
        <w:numPr>
          <w:ilvl w:val="0"/>
          <w:numId w:val="1"/>
        </w:numPr>
        <w:jc w:val="both"/>
        <w:rPr>
          <w:i/>
          <w:sz w:val="18"/>
        </w:rPr>
      </w:pPr>
      <w:r w:rsidRPr="00C822EA">
        <w:rPr>
          <w:i/>
          <w:sz w:val="18"/>
        </w:rPr>
        <w:t xml:space="preserve">In </w:t>
      </w:r>
      <w:proofErr w:type="spellStart"/>
      <w:r w:rsidRPr="00C822EA">
        <w:rPr>
          <w:i/>
          <w:sz w:val="18"/>
        </w:rPr>
        <w:t>turn</w:t>
      </w:r>
      <w:proofErr w:type="spellEnd"/>
      <w:r w:rsidRPr="00C822EA">
        <w:rPr>
          <w:i/>
          <w:sz w:val="18"/>
        </w:rPr>
        <w:t xml:space="preserve">, </w:t>
      </w:r>
      <w:proofErr w:type="spellStart"/>
      <w:r w:rsidRPr="00C822EA">
        <w:rPr>
          <w:i/>
          <w:sz w:val="18"/>
        </w:rPr>
        <w:t>each</w:t>
      </w:r>
      <w:proofErr w:type="spellEnd"/>
      <w:r w:rsidRPr="00C822EA">
        <w:rPr>
          <w:i/>
          <w:sz w:val="18"/>
        </w:rPr>
        <w:t xml:space="preserve"> of </w:t>
      </w:r>
      <w:proofErr w:type="spellStart"/>
      <w:r w:rsidRPr="00C822EA">
        <w:rPr>
          <w:i/>
          <w:sz w:val="18"/>
        </w:rPr>
        <w:t>these</w:t>
      </w:r>
      <w:proofErr w:type="spellEnd"/>
      <w:r w:rsidRPr="00C822EA">
        <w:rPr>
          <w:i/>
          <w:sz w:val="18"/>
        </w:rPr>
        <w:t xml:space="preserve"> </w:t>
      </w:r>
      <w:proofErr w:type="spellStart"/>
      <w:r w:rsidRPr="00C822EA">
        <w:rPr>
          <w:i/>
          <w:sz w:val="18"/>
        </w:rPr>
        <w:t>factors</w:t>
      </w:r>
      <w:proofErr w:type="spellEnd"/>
      <w:r w:rsidRPr="00C822EA">
        <w:rPr>
          <w:i/>
          <w:sz w:val="18"/>
        </w:rPr>
        <w:t xml:space="preserve"> </w:t>
      </w:r>
      <w:proofErr w:type="spellStart"/>
      <w:r w:rsidRPr="00C822EA">
        <w:rPr>
          <w:i/>
          <w:sz w:val="18"/>
        </w:rPr>
        <w:t>is</w:t>
      </w:r>
      <w:proofErr w:type="spellEnd"/>
      <w:r w:rsidRPr="00C822EA">
        <w:rPr>
          <w:i/>
          <w:sz w:val="18"/>
        </w:rPr>
        <w:t xml:space="preserve"> </w:t>
      </w:r>
      <w:proofErr w:type="spellStart"/>
      <w:r w:rsidRPr="00C822EA">
        <w:rPr>
          <w:i/>
          <w:sz w:val="18"/>
        </w:rPr>
        <w:t>divided</w:t>
      </w:r>
      <w:proofErr w:type="spellEnd"/>
      <w:r w:rsidRPr="00C822EA">
        <w:rPr>
          <w:i/>
          <w:sz w:val="18"/>
        </w:rPr>
        <w:t xml:space="preserve"> </w:t>
      </w:r>
      <w:proofErr w:type="spellStart"/>
      <w:r w:rsidRPr="00C822EA">
        <w:rPr>
          <w:i/>
          <w:sz w:val="18"/>
        </w:rPr>
        <w:t>into</w:t>
      </w:r>
      <w:proofErr w:type="spellEnd"/>
      <w:r w:rsidRPr="00C822EA">
        <w:rPr>
          <w:i/>
          <w:sz w:val="18"/>
        </w:rPr>
        <w:t xml:space="preserve"> 5 </w:t>
      </w:r>
      <w:proofErr w:type="spellStart"/>
      <w:r w:rsidRPr="00C822EA">
        <w:rPr>
          <w:i/>
          <w:sz w:val="18"/>
        </w:rPr>
        <w:t>sub-factors</w:t>
      </w:r>
      <w:proofErr w:type="spellEnd"/>
      <w:r w:rsidRPr="00C822EA">
        <w:rPr>
          <w:i/>
          <w:sz w:val="18"/>
        </w:rPr>
        <w:t xml:space="preserve"> </w:t>
      </w:r>
      <w:proofErr w:type="spellStart"/>
      <w:r w:rsidRPr="00C822EA">
        <w:rPr>
          <w:i/>
          <w:sz w:val="18"/>
        </w:rPr>
        <w:t>which</w:t>
      </w:r>
      <w:proofErr w:type="spellEnd"/>
      <w:r w:rsidRPr="00C822EA">
        <w:rPr>
          <w:i/>
          <w:sz w:val="18"/>
        </w:rPr>
        <w:t xml:space="preserve"> </w:t>
      </w:r>
      <w:proofErr w:type="spellStart"/>
      <w:r w:rsidRPr="00C822EA">
        <w:rPr>
          <w:i/>
          <w:sz w:val="18"/>
        </w:rPr>
        <w:t>highlight</w:t>
      </w:r>
      <w:proofErr w:type="spellEnd"/>
      <w:r w:rsidRPr="00C822EA">
        <w:rPr>
          <w:i/>
          <w:sz w:val="18"/>
        </w:rPr>
        <w:t xml:space="preserve"> </w:t>
      </w:r>
      <w:proofErr w:type="spellStart"/>
      <w:r w:rsidRPr="00C822EA">
        <w:rPr>
          <w:i/>
          <w:sz w:val="18"/>
        </w:rPr>
        <w:t>every</w:t>
      </w:r>
      <w:proofErr w:type="spellEnd"/>
      <w:r w:rsidRPr="00C822EA">
        <w:rPr>
          <w:i/>
          <w:sz w:val="18"/>
        </w:rPr>
        <w:t xml:space="preserve"> </w:t>
      </w:r>
      <w:proofErr w:type="spellStart"/>
      <w:r w:rsidRPr="00C822EA">
        <w:rPr>
          <w:i/>
          <w:sz w:val="18"/>
        </w:rPr>
        <w:t>facet</w:t>
      </w:r>
      <w:proofErr w:type="spellEnd"/>
      <w:r w:rsidRPr="00C822EA">
        <w:rPr>
          <w:i/>
          <w:sz w:val="18"/>
        </w:rPr>
        <w:t xml:space="preserve"> of the areas </w:t>
      </w:r>
      <w:proofErr w:type="spellStart"/>
      <w:r w:rsidRPr="00C822EA">
        <w:rPr>
          <w:i/>
          <w:sz w:val="18"/>
        </w:rPr>
        <w:t>analyzed</w:t>
      </w:r>
      <w:proofErr w:type="spellEnd"/>
      <w:r w:rsidRPr="00C822EA">
        <w:rPr>
          <w:i/>
          <w:sz w:val="18"/>
        </w:rPr>
        <w:t xml:space="preserve">. </w:t>
      </w:r>
      <w:proofErr w:type="spellStart"/>
      <w:r w:rsidRPr="00C822EA">
        <w:rPr>
          <w:i/>
          <w:sz w:val="18"/>
        </w:rPr>
        <w:t>Altogether</w:t>
      </w:r>
      <w:proofErr w:type="spellEnd"/>
      <w:r w:rsidRPr="00C822EA">
        <w:rPr>
          <w:i/>
          <w:sz w:val="18"/>
        </w:rPr>
        <w:t xml:space="preserve">, the World </w:t>
      </w:r>
      <w:proofErr w:type="spellStart"/>
      <w:r w:rsidRPr="00C822EA">
        <w:rPr>
          <w:i/>
          <w:sz w:val="18"/>
        </w:rPr>
        <w:t>Competitiveness</w:t>
      </w:r>
      <w:proofErr w:type="spellEnd"/>
      <w:r w:rsidRPr="00C822EA">
        <w:rPr>
          <w:i/>
          <w:sz w:val="18"/>
        </w:rPr>
        <w:t xml:space="preserve"> </w:t>
      </w:r>
      <w:proofErr w:type="spellStart"/>
      <w:r w:rsidRPr="00C822EA">
        <w:rPr>
          <w:i/>
          <w:sz w:val="18"/>
        </w:rPr>
        <w:t>Yearbook</w:t>
      </w:r>
      <w:proofErr w:type="spellEnd"/>
      <w:r w:rsidRPr="00C822EA">
        <w:rPr>
          <w:i/>
          <w:sz w:val="18"/>
        </w:rPr>
        <w:t xml:space="preserve"> </w:t>
      </w:r>
      <w:proofErr w:type="spellStart"/>
      <w:r w:rsidRPr="00C822EA">
        <w:rPr>
          <w:i/>
          <w:sz w:val="18"/>
        </w:rPr>
        <w:t>features</w:t>
      </w:r>
      <w:proofErr w:type="spellEnd"/>
      <w:r w:rsidRPr="00C822EA">
        <w:rPr>
          <w:i/>
          <w:sz w:val="18"/>
        </w:rPr>
        <w:t xml:space="preserve"> 20 </w:t>
      </w:r>
      <w:proofErr w:type="spellStart"/>
      <w:r w:rsidRPr="00C822EA">
        <w:rPr>
          <w:i/>
          <w:sz w:val="18"/>
        </w:rPr>
        <w:t>such</w:t>
      </w:r>
      <w:proofErr w:type="spellEnd"/>
      <w:r w:rsidRPr="00C822EA">
        <w:rPr>
          <w:i/>
          <w:sz w:val="18"/>
        </w:rPr>
        <w:t xml:space="preserve"> </w:t>
      </w:r>
      <w:proofErr w:type="spellStart"/>
      <w:r w:rsidRPr="00C822EA">
        <w:rPr>
          <w:i/>
          <w:sz w:val="18"/>
        </w:rPr>
        <w:t>sub-factors</w:t>
      </w:r>
      <w:proofErr w:type="spellEnd"/>
      <w:r w:rsidRPr="00C822EA">
        <w:rPr>
          <w:i/>
          <w:sz w:val="18"/>
        </w:rPr>
        <w:t xml:space="preserve">. </w:t>
      </w:r>
    </w:p>
    <w:p w:rsidR="00C822EA" w:rsidRPr="00C822EA" w:rsidRDefault="00C822EA" w:rsidP="00505D04">
      <w:pPr>
        <w:pStyle w:val="Sansinterligne"/>
        <w:numPr>
          <w:ilvl w:val="0"/>
          <w:numId w:val="1"/>
        </w:numPr>
        <w:jc w:val="both"/>
        <w:rPr>
          <w:i/>
          <w:sz w:val="18"/>
        </w:rPr>
      </w:pPr>
      <w:proofErr w:type="spellStart"/>
      <w:r w:rsidRPr="00C822EA">
        <w:rPr>
          <w:i/>
          <w:sz w:val="18"/>
        </w:rPr>
        <w:t>These</w:t>
      </w:r>
      <w:proofErr w:type="spellEnd"/>
      <w:r w:rsidRPr="00C822EA">
        <w:rPr>
          <w:i/>
          <w:sz w:val="18"/>
        </w:rPr>
        <w:t xml:space="preserve"> 20 </w:t>
      </w:r>
      <w:proofErr w:type="spellStart"/>
      <w:r w:rsidRPr="00C822EA">
        <w:rPr>
          <w:i/>
          <w:sz w:val="18"/>
        </w:rPr>
        <w:t>sub-factors</w:t>
      </w:r>
      <w:proofErr w:type="spellEnd"/>
      <w:r w:rsidRPr="00C822EA">
        <w:rPr>
          <w:i/>
          <w:sz w:val="18"/>
        </w:rPr>
        <w:t xml:space="preserve"> comprise more </w:t>
      </w:r>
      <w:proofErr w:type="spellStart"/>
      <w:r w:rsidRPr="00C822EA">
        <w:rPr>
          <w:i/>
          <w:sz w:val="18"/>
        </w:rPr>
        <w:t>than</w:t>
      </w:r>
      <w:proofErr w:type="spellEnd"/>
      <w:r w:rsidRPr="00C822EA">
        <w:rPr>
          <w:i/>
          <w:sz w:val="18"/>
        </w:rPr>
        <w:t xml:space="preserve"> 340 </w:t>
      </w:r>
      <w:proofErr w:type="spellStart"/>
      <w:r w:rsidRPr="00C822EA">
        <w:rPr>
          <w:i/>
          <w:sz w:val="18"/>
        </w:rPr>
        <w:t>criteria</w:t>
      </w:r>
      <w:proofErr w:type="spellEnd"/>
      <w:r w:rsidRPr="00C822EA">
        <w:rPr>
          <w:i/>
          <w:sz w:val="18"/>
        </w:rPr>
        <w:t xml:space="preserve">, </w:t>
      </w:r>
      <w:proofErr w:type="spellStart"/>
      <w:r w:rsidRPr="00C822EA">
        <w:rPr>
          <w:i/>
          <w:sz w:val="18"/>
        </w:rPr>
        <w:t>although</w:t>
      </w:r>
      <w:proofErr w:type="spellEnd"/>
      <w:r w:rsidRPr="00C822EA">
        <w:rPr>
          <w:i/>
          <w:sz w:val="18"/>
        </w:rPr>
        <w:t xml:space="preserve"> </w:t>
      </w:r>
      <w:proofErr w:type="spellStart"/>
      <w:r w:rsidRPr="00C822EA">
        <w:rPr>
          <w:i/>
          <w:sz w:val="18"/>
        </w:rPr>
        <w:t>each</w:t>
      </w:r>
      <w:proofErr w:type="spellEnd"/>
      <w:r w:rsidRPr="00C822EA">
        <w:rPr>
          <w:i/>
          <w:sz w:val="18"/>
        </w:rPr>
        <w:t xml:space="preserve"> </w:t>
      </w:r>
      <w:proofErr w:type="spellStart"/>
      <w:r w:rsidRPr="00C822EA">
        <w:rPr>
          <w:i/>
          <w:sz w:val="18"/>
        </w:rPr>
        <w:t>sub</w:t>
      </w:r>
      <w:proofErr w:type="spellEnd"/>
      <w:r w:rsidRPr="00C822EA">
        <w:rPr>
          <w:i/>
          <w:sz w:val="18"/>
        </w:rPr>
        <w:t xml:space="preserve">-factor </w:t>
      </w:r>
      <w:proofErr w:type="spellStart"/>
      <w:r w:rsidRPr="00C822EA">
        <w:rPr>
          <w:i/>
          <w:sz w:val="18"/>
        </w:rPr>
        <w:t>does</w:t>
      </w:r>
      <w:proofErr w:type="spellEnd"/>
      <w:r w:rsidRPr="00C822EA">
        <w:rPr>
          <w:i/>
          <w:sz w:val="18"/>
        </w:rPr>
        <w:t xml:space="preserve"> not </w:t>
      </w:r>
      <w:proofErr w:type="spellStart"/>
      <w:r w:rsidRPr="00C822EA">
        <w:rPr>
          <w:i/>
          <w:sz w:val="18"/>
        </w:rPr>
        <w:t>necessarily</w:t>
      </w:r>
      <w:proofErr w:type="spellEnd"/>
      <w:r w:rsidRPr="00C822EA">
        <w:rPr>
          <w:i/>
          <w:sz w:val="18"/>
        </w:rPr>
        <w:t xml:space="preserve"> have the </w:t>
      </w:r>
      <w:proofErr w:type="spellStart"/>
      <w:r w:rsidRPr="00C822EA">
        <w:rPr>
          <w:i/>
          <w:sz w:val="18"/>
        </w:rPr>
        <w:t>same</w:t>
      </w:r>
      <w:proofErr w:type="spellEnd"/>
      <w:r w:rsidRPr="00C822EA">
        <w:rPr>
          <w:i/>
          <w:sz w:val="18"/>
        </w:rPr>
        <w:t xml:space="preserve"> </w:t>
      </w:r>
      <w:proofErr w:type="spellStart"/>
      <w:r w:rsidRPr="00C822EA">
        <w:rPr>
          <w:i/>
          <w:sz w:val="18"/>
        </w:rPr>
        <w:t>number</w:t>
      </w:r>
      <w:proofErr w:type="spellEnd"/>
      <w:r w:rsidRPr="00C822EA">
        <w:rPr>
          <w:i/>
          <w:sz w:val="18"/>
        </w:rPr>
        <w:t xml:space="preserve"> of </w:t>
      </w:r>
      <w:proofErr w:type="spellStart"/>
      <w:r w:rsidRPr="00C822EA">
        <w:rPr>
          <w:i/>
          <w:sz w:val="18"/>
        </w:rPr>
        <w:t>criteria</w:t>
      </w:r>
      <w:proofErr w:type="spellEnd"/>
      <w:r w:rsidRPr="00C822EA">
        <w:rPr>
          <w:i/>
          <w:sz w:val="18"/>
        </w:rPr>
        <w:t xml:space="preserve"> (for </w:t>
      </w:r>
      <w:proofErr w:type="spellStart"/>
      <w:r w:rsidRPr="00C822EA">
        <w:rPr>
          <w:i/>
          <w:sz w:val="18"/>
        </w:rPr>
        <w:t>example</w:t>
      </w:r>
      <w:proofErr w:type="spellEnd"/>
      <w:r w:rsidRPr="00C822EA">
        <w:rPr>
          <w:i/>
          <w:sz w:val="18"/>
        </w:rPr>
        <w:t xml:space="preserve">, </w:t>
      </w:r>
      <w:proofErr w:type="spellStart"/>
      <w:r w:rsidRPr="00C822EA">
        <w:rPr>
          <w:i/>
          <w:sz w:val="18"/>
        </w:rPr>
        <w:t>it</w:t>
      </w:r>
      <w:proofErr w:type="spellEnd"/>
      <w:r w:rsidRPr="00C822EA">
        <w:rPr>
          <w:i/>
          <w:sz w:val="18"/>
        </w:rPr>
        <w:t xml:space="preserve"> </w:t>
      </w:r>
      <w:proofErr w:type="spellStart"/>
      <w:r w:rsidRPr="00C822EA">
        <w:rPr>
          <w:i/>
          <w:sz w:val="18"/>
        </w:rPr>
        <w:t>takes</w:t>
      </w:r>
      <w:proofErr w:type="spellEnd"/>
      <w:r w:rsidRPr="00C822EA">
        <w:rPr>
          <w:i/>
          <w:sz w:val="18"/>
        </w:rPr>
        <w:t xml:space="preserve"> more </w:t>
      </w:r>
      <w:proofErr w:type="spellStart"/>
      <w:r w:rsidRPr="00C822EA">
        <w:rPr>
          <w:i/>
          <w:sz w:val="18"/>
        </w:rPr>
        <w:t>criteria</w:t>
      </w:r>
      <w:proofErr w:type="spellEnd"/>
      <w:r w:rsidRPr="00C822EA">
        <w:rPr>
          <w:i/>
          <w:sz w:val="18"/>
        </w:rPr>
        <w:t xml:space="preserve"> to </w:t>
      </w:r>
      <w:proofErr w:type="spellStart"/>
      <w:r w:rsidRPr="00C822EA">
        <w:rPr>
          <w:i/>
          <w:sz w:val="18"/>
        </w:rPr>
        <w:t>assess</w:t>
      </w:r>
      <w:proofErr w:type="spellEnd"/>
      <w:r w:rsidRPr="00C822EA">
        <w:rPr>
          <w:i/>
          <w:sz w:val="18"/>
        </w:rPr>
        <w:t xml:space="preserve"> Education </w:t>
      </w:r>
      <w:proofErr w:type="spellStart"/>
      <w:r w:rsidRPr="00C822EA">
        <w:rPr>
          <w:i/>
          <w:sz w:val="18"/>
        </w:rPr>
        <w:t>than</w:t>
      </w:r>
      <w:proofErr w:type="spellEnd"/>
      <w:r w:rsidRPr="00C822EA">
        <w:rPr>
          <w:i/>
          <w:sz w:val="18"/>
        </w:rPr>
        <w:t xml:space="preserve"> to </w:t>
      </w:r>
      <w:proofErr w:type="spellStart"/>
      <w:r w:rsidRPr="00C822EA">
        <w:rPr>
          <w:i/>
          <w:sz w:val="18"/>
        </w:rPr>
        <w:t>evaluate</w:t>
      </w:r>
      <w:proofErr w:type="spellEnd"/>
      <w:r w:rsidRPr="00C822EA">
        <w:rPr>
          <w:i/>
          <w:sz w:val="18"/>
        </w:rPr>
        <w:t xml:space="preserve"> </w:t>
      </w:r>
      <w:proofErr w:type="spellStart"/>
      <w:r w:rsidRPr="00C822EA">
        <w:rPr>
          <w:i/>
          <w:sz w:val="18"/>
        </w:rPr>
        <w:t>Prices</w:t>
      </w:r>
      <w:proofErr w:type="spellEnd"/>
      <w:r w:rsidRPr="00C822EA">
        <w:rPr>
          <w:i/>
          <w:sz w:val="18"/>
        </w:rPr>
        <w:t xml:space="preserve">). </w:t>
      </w:r>
    </w:p>
    <w:p w:rsidR="00C822EA" w:rsidRPr="00C822EA" w:rsidRDefault="00C822EA" w:rsidP="00505D04">
      <w:pPr>
        <w:pStyle w:val="Sansinterligne"/>
        <w:numPr>
          <w:ilvl w:val="0"/>
          <w:numId w:val="1"/>
        </w:numPr>
        <w:jc w:val="both"/>
        <w:rPr>
          <w:i/>
          <w:sz w:val="18"/>
        </w:rPr>
      </w:pPr>
      <w:proofErr w:type="spellStart"/>
      <w:r w:rsidRPr="00C822EA">
        <w:rPr>
          <w:i/>
          <w:sz w:val="18"/>
        </w:rPr>
        <w:t>Each</w:t>
      </w:r>
      <w:proofErr w:type="spellEnd"/>
      <w:r w:rsidRPr="00C822EA">
        <w:rPr>
          <w:i/>
          <w:sz w:val="18"/>
        </w:rPr>
        <w:t xml:space="preserve"> </w:t>
      </w:r>
      <w:proofErr w:type="spellStart"/>
      <w:r w:rsidRPr="00C822EA">
        <w:rPr>
          <w:i/>
          <w:sz w:val="18"/>
        </w:rPr>
        <w:t>sub</w:t>
      </w:r>
      <w:proofErr w:type="spellEnd"/>
      <w:r w:rsidRPr="00C822EA">
        <w:rPr>
          <w:i/>
          <w:sz w:val="18"/>
        </w:rPr>
        <w:t xml:space="preserve">-factor, </w:t>
      </w:r>
      <w:proofErr w:type="spellStart"/>
      <w:r w:rsidRPr="00C822EA">
        <w:rPr>
          <w:i/>
          <w:sz w:val="18"/>
        </w:rPr>
        <w:t>independently</w:t>
      </w:r>
      <w:proofErr w:type="spellEnd"/>
      <w:r w:rsidRPr="00C822EA">
        <w:rPr>
          <w:i/>
          <w:sz w:val="18"/>
        </w:rPr>
        <w:t xml:space="preserve"> of the </w:t>
      </w:r>
      <w:proofErr w:type="spellStart"/>
      <w:r w:rsidRPr="00C822EA">
        <w:rPr>
          <w:i/>
          <w:sz w:val="18"/>
        </w:rPr>
        <w:t>number</w:t>
      </w:r>
      <w:proofErr w:type="spellEnd"/>
      <w:r w:rsidRPr="00C822EA">
        <w:rPr>
          <w:i/>
          <w:sz w:val="18"/>
        </w:rPr>
        <w:t xml:space="preserve"> of </w:t>
      </w:r>
      <w:proofErr w:type="spellStart"/>
      <w:r w:rsidRPr="00C822EA">
        <w:rPr>
          <w:i/>
          <w:sz w:val="18"/>
        </w:rPr>
        <w:t>criteria</w:t>
      </w:r>
      <w:proofErr w:type="spellEnd"/>
      <w:r w:rsidRPr="00C822EA">
        <w:rPr>
          <w:i/>
          <w:sz w:val="18"/>
        </w:rPr>
        <w:t xml:space="preserve"> </w:t>
      </w:r>
      <w:proofErr w:type="spellStart"/>
      <w:r w:rsidRPr="00C822EA">
        <w:rPr>
          <w:i/>
          <w:sz w:val="18"/>
        </w:rPr>
        <w:t>it</w:t>
      </w:r>
      <w:proofErr w:type="spellEnd"/>
      <w:r w:rsidRPr="00C822EA">
        <w:rPr>
          <w:i/>
          <w:sz w:val="18"/>
        </w:rPr>
        <w:t xml:space="preserve"> </w:t>
      </w:r>
      <w:proofErr w:type="spellStart"/>
      <w:r w:rsidRPr="00C822EA">
        <w:rPr>
          <w:i/>
          <w:sz w:val="18"/>
        </w:rPr>
        <w:t>contains</w:t>
      </w:r>
      <w:proofErr w:type="spellEnd"/>
      <w:r w:rsidRPr="00C822EA">
        <w:rPr>
          <w:i/>
          <w:sz w:val="18"/>
        </w:rPr>
        <w:t xml:space="preserve">, has the </w:t>
      </w:r>
      <w:proofErr w:type="spellStart"/>
      <w:r w:rsidRPr="00C822EA">
        <w:rPr>
          <w:i/>
          <w:sz w:val="18"/>
        </w:rPr>
        <w:t>same</w:t>
      </w:r>
      <w:proofErr w:type="spellEnd"/>
      <w:r w:rsidRPr="00C822EA">
        <w:rPr>
          <w:i/>
          <w:sz w:val="18"/>
        </w:rPr>
        <w:t xml:space="preserve"> </w:t>
      </w:r>
      <w:proofErr w:type="spellStart"/>
      <w:r w:rsidRPr="00C822EA">
        <w:rPr>
          <w:i/>
          <w:sz w:val="18"/>
        </w:rPr>
        <w:t>weight</w:t>
      </w:r>
      <w:proofErr w:type="spellEnd"/>
      <w:r w:rsidRPr="00C822EA">
        <w:rPr>
          <w:i/>
          <w:sz w:val="18"/>
        </w:rPr>
        <w:t xml:space="preserve"> in the </w:t>
      </w:r>
      <w:proofErr w:type="spellStart"/>
      <w:r w:rsidRPr="00C822EA">
        <w:rPr>
          <w:i/>
          <w:sz w:val="18"/>
        </w:rPr>
        <w:t>overall</w:t>
      </w:r>
      <w:proofErr w:type="spellEnd"/>
      <w:r w:rsidRPr="00C822EA">
        <w:rPr>
          <w:i/>
          <w:sz w:val="18"/>
        </w:rPr>
        <w:t xml:space="preserve"> consolidation of </w:t>
      </w:r>
      <w:proofErr w:type="spellStart"/>
      <w:r w:rsidRPr="00C822EA">
        <w:rPr>
          <w:i/>
          <w:sz w:val="18"/>
        </w:rPr>
        <w:t>results</w:t>
      </w:r>
      <w:proofErr w:type="spellEnd"/>
      <w:r w:rsidRPr="00C822EA">
        <w:rPr>
          <w:i/>
          <w:sz w:val="18"/>
        </w:rPr>
        <w:t xml:space="preserve">, </w:t>
      </w:r>
      <w:proofErr w:type="spellStart"/>
      <w:r w:rsidRPr="00C822EA">
        <w:rPr>
          <w:i/>
          <w:sz w:val="18"/>
        </w:rPr>
        <w:t>which</w:t>
      </w:r>
      <w:proofErr w:type="spellEnd"/>
      <w:r w:rsidRPr="00C822EA">
        <w:rPr>
          <w:i/>
          <w:sz w:val="18"/>
        </w:rPr>
        <w:t xml:space="preserve"> </w:t>
      </w:r>
      <w:proofErr w:type="spellStart"/>
      <w:r w:rsidRPr="00C822EA">
        <w:rPr>
          <w:i/>
          <w:sz w:val="18"/>
        </w:rPr>
        <w:t>is</w:t>
      </w:r>
      <w:proofErr w:type="spellEnd"/>
      <w:r w:rsidRPr="00C822EA">
        <w:rPr>
          <w:i/>
          <w:sz w:val="18"/>
        </w:rPr>
        <w:t xml:space="preserve"> 5% (20x5 =100). </w:t>
      </w:r>
    </w:p>
    <w:p w:rsidR="00C822EA" w:rsidRPr="00C822EA" w:rsidRDefault="00C822EA" w:rsidP="00505D04">
      <w:pPr>
        <w:pStyle w:val="Sansinterligne"/>
        <w:numPr>
          <w:ilvl w:val="0"/>
          <w:numId w:val="1"/>
        </w:numPr>
        <w:jc w:val="both"/>
        <w:rPr>
          <w:i/>
          <w:sz w:val="18"/>
        </w:rPr>
      </w:pPr>
      <w:proofErr w:type="spellStart"/>
      <w:r w:rsidRPr="00C822EA">
        <w:rPr>
          <w:i/>
          <w:sz w:val="18"/>
        </w:rPr>
        <w:t>Criteria</w:t>
      </w:r>
      <w:proofErr w:type="spellEnd"/>
      <w:r w:rsidRPr="00C822EA">
        <w:rPr>
          <w:i/>
          <w:sz w:val="18"/>
        </w:rPr>
        <w:t xml:space="preserve"> </w:t>
      </w:r>
      <w:proofErr w:type="spellStart"/>
      <w:r w:rsidRPr="00C822EA">
        <w:rPr>
          <w:i/>
          <w:sz w:val="18"/>
        </w:rPr>
        <w:t>can</w:t>
      </w:r>
      <w:proofErr w:type="spellEnd"/>
      <w:r w:rsidRPr="00C822EA">
        <w:rPr>
          <w:i/>
          <w:sz w:val="18"/>
        </w:rPr>
        <w:t xml:space="preserve"> </w:t>
      </w:r>
      <w:proofErr w:type="spellStart"/>
      <w:r w:rsidRPr="00C822EA">
        <w:rPr>
          <w:i/>
          <w:sz w:val="18"/>
        </w:rPr>
        <w:t>be</w:t>
      </w:r>
      <w:proofErr w:type="spellEnd"/>
      <w:r w:rsidRPr="00C822EA">
        <w:rPr>
          <w:i/>
          <w:sz w:val="18"/>
        </w:rPr>
        <w:t xml:space="preserve"> hard data, </w:t>
      </w:r>
      <w:proofErr w:type="spellStart"/>
      <w:r w:rsidRPr="00C822EA">
        <w:rPr>
          <w:i/>
          <w:sz w:val="18"/>
        </w:rPr>
        <w:t>which</w:t>
      </w:r>
      <w:proofErr w:type="spellEnd"/>
      <w:r w:rsidRPr="00C822EA">
        <w:rPr>
          <w:i/>
          <w:sz w:val="18"/>
        </w:rPr>
        <w:t xml:space="preserve"> </w:t>
      </w:r>
      <w:proofErr w:type="spellStart"/>
      <w:r w:rsidRPr="00C822EA">
        <w:rPr>
          <w:i/>
          <w:sz w:val="18"/>
        </w:rPr>
        <w:t>analyzes</w:t>
      </w:r>
      <w:proofErr w:type="spellEnd"/>
      <w:r w:rsidRPr="00C822EA">
        <w:rPr>
          <w:i/>
          <w:sz w:val="18"/>
        </w:rPr>
        <w:t xml:space="preserve"> </w:t>
      </w:r>
      <w:proofErr w:type="spellStart"/>
      <w:r w:rsidRPr="00C822EA">
        <w:rPr>
          <w:i/>
          <w:sz w:val="18"/>
        </w:rPr>
        <w:t>competitiveness</w:t>
      </w:r>
      <w:proofErr w:type="spellEnd"/>
      <w:r w:rsidRPr="00C822EA">
        <w:rPr>
          <w:i/>
          <w:sz w:val="18"/>
        </w:rPr>
        <w:t xml:space="preserve"> as </w:t>
      </w:r>
      <w:proofErr w:type="spellStart"/>
      <w:r w:rsidRPr="00C822EA">
        <w:rPr>
          <w:i/>
          <w:sz w:val="18"/>
        </w:rPr>
        <w:t>it</w:t>
      </w:r>
      <w:proofErr w:type="spellEnd"/>
      <w:r w:rsidRPr="00C822EA">
        <w:rPr>
          <w:i/>
          <w:sz w:val="18"/>
        </w:rPr>
        <w:t xml:space="preserve"> </w:t>
      </w:r>
      <w:proofErr w:type="spellStart"/>
      <w:r w:rsidRPr="00C822EA">
        <w:rPr>
          <w:i/>
          <w:sz w:val="18"/>
        </w:rPr>
        <w:t>can</w:t>
      </w:r>
      <w:proofErr w:type="spellEnd"/>
      <w:r w:rsidRPr="00C822EA">
        <w:rPr>
          <w:i/>
          <w:sz w:val="18"/>
        </w:rPr>
        <w:t xml:space="preserve"> </w:t>
      </w:r>
      <w:proofErr w:type="spellStart"/>
      <w:r w:rsidRPr="00C822EA">
        <w:rPr>
          <w:i/>
          <w:sz w:val="18"/>
        </w:rPr>
        <w:t>be</w:t>
      </w:r>
      <w:proofErr w:type="spellEnd"/>
      <w:r w:rsidRPr="00C822EA">
        <w:rPr>
          <w:i/>
          <w:sz w:val="18"/>
        </w:rPr>
        <w:t xml:space="preserve"> </w:t>
      </w:r>
      <w:proofErr w:type="spellStart"/>
      <w:r w:rsidRPr="00C822EA">
        <w:rPr>
          <w:i/>
          <w:sz w:val="18"/>
        </w:rPr>
        <w:t>measured</w:t>
      </w:r>
      <w:proofErr w:type="spellEnd"/>
      <w:r w:rsidRPr="00C822EA">
        <w:rPr>
          <w:i/>
          <w:sz w:val="18"/>
        </w:rPr>
        <w:t xml:space="preserve"> (</w:t>
      </w:r>
      <w:proofErr w:type="spellStart"/>
      <w:r w:rsidRPr="00C822EA">
        <w:rPr>
          <w:i/>
          <w:sz w:val="18"/>
        </w:rPr>
        <w:t>e.g</w:t>
      </w:r>
      <w:proofErr w:type="spellEnd"/>
      <w:r w:rsidRPr="00C822EA">
        <w:rPr>
          <w:i/>
          <w:sz w:val="18"/>
        </w:rPr>
        <w:t xml:space="preserve">. GDP) or soft data, </w:t>
      </w:r>
      <w:proofErr w:type="spellStart"/>
      <w:r w:rsidRPr="00C822EA">
        <w:rPr>
          <w:i/>
          <w:sz w:val="18"/>
        </w:rPr>
        <w:t>which</w:t>
      </w:r>
      <w:proofErr w:type="spellEnd"/>
      <w:r w:rsidRPr="00C822EA">
        <w:rPr>
          <w:i/>
          <w:sz w:val="18"/>
        </w:rPr>
        <w:t xml:space="preserve"> </w:t>
      </w:r>
      <w:proofErr w:type="spellStart"/>
      <w:r w:rsidRPr="00C822EA">
        <w:rPr>
          <w:i/>
          <w:sz w:val="18"/>
        </w:rPr>
        <w:t>analyzes</w:t>
      </w:r>
      <w:proofErr w:type="spellEnd"/>
      <w:r w:rsidRPr="00C822EA">
        <w:rPr>
          <w:i/>
          <w:sz w:val="18"/>
        </w:rPr>
        <w:t xml:space="preserve"> </w:t>
      </w:r>
      <w:proofErr w:type="spellStart"/>
      <w:r w:rsidRPr="00C822EA">
        <w:rPr>
          <w:i/>
          <w:sz w:val="18"/>
        </w:rPr>
        <w:t>competitiveness</w:t>
      </w:r>
      <w:proofErr w:type="spellEnd"/>
      <w:r w:rsidRPr="00C822EA">
        <w:rPr>
          <w:i/>
          <w:sz w:val="18"/>
        </w:rPr>
        <w:t xml:space="preserve"> as </w:t>
      </w:r>
      <w:proofErr w:type="spellStart"/>
      <w:r w:rsidRPr="00C822EA">
        <w:rPr>
          <w:i/>
          <w:sz w:val="18"/>
        </w:rPr>
        <w:t>it</w:t>
      </w:r>
      <w:proofErr w:type="spellEnd"/>
      <w:r w:rsidRPr="00C822EA">
        <w:rPr>
          <w:i/>
          <w:sz w:val="18"/>
        </w:rPr>
        <w:t xml:space="preserve"> </w:t>
      </w:r>
      <w:proofErr w:type="spellStart"/>
      <w:r w:rsidRPr="00C822EA">
        <w:rPr>
          <w:i/>
          <w:sz w:val="18"/>
        </w:rPr>
        <w:t>can</w:t>
      </w:r>
      <w:proofErr w:type="spellEnd"/>
      <w:r w:rsidRPr="00C822EA">
        <w:rPr>
          <w:i/>
          <w:sz w:val="18"/>
        </w:rPr>
        <w:t xml:space="preserve"> </w:t>
      </w:r>
      <w:proofErr w:type="spellStart"/>
      <w:r w:rsidRPr="00C822EA">
        <w:rPr>
          <w:i/>
          <w:sz w:val="18"/>
        </w:rPr>
        <w:t>be</w:t>
      </w:r>
      <w:proofErr w:type="spellEnd"/>
      <w:r w:rsidRPr="00C822EA">
        <w:rPr>
          <w:i/>
          <w:sz w:val="18"/>
        </w:rPr>
        <w:t xml:space="preserve"> </w:t>
      </w:r>
      <w:proofErr w:type="spellStart"/>
      <w:r w:rsidRPr="00C822EA">
        <w:rPr>
          <w:i/>
          <w:sz w:val="18"/>
        </w:rPr>
        <w:t>perceived</w:t>
      </w:r>
      <w:proofErr w:type="spellEnd"/>
      <w:r w:rsidRPr="00C822EA">
        <w:rPr>
          <w:i/>
          <w:sz w:val="18"/>
        </w:rPr>
        <w:t xml:space="preserve"> (</w:t>
      </w:r>
      <w:proofErr w:type="spellStart"/>
      <w:r w:rsidRPr="00C822EA">
        <w:rPr>
          <w:i/>
          <w:sz w:val="18"/>
        </w:rPr>
        <w:t>e.g</w:t>
      </w:r>
      <w:proofErr w:type="spellEnd"/>
      <w:r w:rsidRPr="00C822EA">
        <w:rPr>
          <w:i/>
          <w:sz w:val="18"/>
        </w:rPr>
        <w:t xml:space="preserve">. </w:t>
      </w:r>
      <w:proofErr w:type="spellStart"/>
      <w:r w:rsidRPr="00C822EA">
        <w:rPr>
          <w:i/>
          <w:sz w:val="18"/>
        </w:rPr>
        <w:t>Availability</w:t>
      </w:r>
      <w:proofErr w:type="spellEnd"/>
      <w:r w:rsidRPr="00C822EA">
        <w:rPr>
          <w:i/>
          <w:sz w:val="18"/>
        </w:rPr>
        <w:t xml:space="preserve"> of </w:t>
      </w:r>
      <w:proofErr w:type="spellStart"/>
      <w:r w:rsidRPr="00C822EA">
        <w:rPr>
          <w:i/>
          <w:sz w:val="18"/>
        </w:rPr>
        <w:t>competent</w:t>
      </w:r>
      <w:proofErr w:type="spellEnd"/>
      <w:r w:rsidRPr="00C822EA">
        <w:rPr>
          <w:i/>
          <w:sz w:val="18"/>
        </w:rPr>
        <w:t xml:space="preserve"> managers). Hard </w:t>
      </w:r>
      <w:proofErr w:type="spellStart"/>
      <w:r w:rsidRPr="00C822EA">
        <w:rPr>
          <w:i/>
          <w:sz w:val="18"/>
        </w:rPr>
        <w:t>criteria</w:t>
      </w:r>
      <w:proofErr w:type="spellEnd"/>
      <w:r w:rsidRPr="00C822EA">
        <w:rPr>
          <w:i/>
          <w:sz w:val="18"/>
        </w:rPr>
        <w:t xml:space="preserve"> </w:t>
      </w:r>
      <w:proofErr w:type="spellStart"/>
      <w:r w:rsidRPr="00C822EA">
        <w:rPr>
          <w:i/>
          <w:sz w:val="18"/>
        </w:rPr>
        <w:t>represent</w:t>
      </w:r>
      <w:proofErr w:type="spellEnd"/>
      <w:r w:rsidRPr="00C822EA">
        <w:rPr>
          <w:i/>
          <w:sz w:val="18"/>
        </w:rPr>
        <w:t xml:space="preserve"> a </w:t>
      </w:r>
      <w:proofErr w:type="spellStart"/>
      <w:r w:rsidRPr="00C822EA">
        <w:rPr>
          <w:i/>
          <w:sz w:val="18"/>
        </w:rPr>
        <w:t>weight</w:t>
      </w:r>
      <w:proofErr w:type="spellEnd"/>
      <w:r w:rsidRPr="00C822EA">
        <w:rPr>
          <w:i/>
          <w:sz w:val="18"/>
        </w:rPr>
        <w:t xml:space="preserve"> of 2/3 in the </w:t>
      </w:r>
      <w:proofErr w:type="spellStart"/>
      <w:r w:rsidRPr="00C822EA">
        <w:rPr>
          <w:i/>
          <w:sz w:val="18"/>
        </w:rPr>
        <w:t>overall</w:t>
      </w:r>
      <w:proofErr w:type="spellEnd"/>
      <w:r w:rsidRPr="00C822EA">
        <w:rPr>
          <w:i/>
          <w:sz w:val="18"/>
        </w:rPr>
        <w:t xml:space="preserve"> </w:t>
      </w:r>
      <w:proofErr w:type="spellStart"/>
      <w:r w:rsidRPr="00C822EA">
        <w:rPr>
          <w:i/>
          <w:sz w:val="18"/>
        </w:rPr>
        <w:t>ranking</w:t>
      </w:r>
      <w:proofErr w:type="spellEnd"/>
      <w:r w:rsidRPr="00C822EA">
        <w:rPr>
          <w:i/>
          <w:sz w:val="18"/>
        </w:rPr>
        <w:t xml:space="preserve">, </w:t>
      </w:r>
      <w:proofErr w:type="spellStart"/>
      <w:r w:rsidRPr="00C822EA">
        <w:rPr>
          <w:i/>
          <w:sz w:val="18"/>
        </w:rPr>
        <w:t>whereas</w:t>
      </w:r>
      <w:proofErr w:type="spellEnd"/>
      <w:r w:rsidRPr="00C822EA">
        <w:rPr>
          <w:i/>
          <w:sz w:val="18"/>
        </w:rPr>
        <w:t xml:space="preserve"> the </w:t>
      </w:r>
      <w:proofErr w:type="spellStart"/>
      <w:r w:rsidRPr="00C822EA">
        <w:rPr>
          <w:i/>
          <w:sz w:val="18"/>
        </w:rPr>
        <w:t>survey</w:t>
      </w:r>
      <w:proofErr w:type="spellEnd"/>
      <w:r w:rsidRPr="00C822EA">
        <w:rPr>
          <w:i/>
          <w:sz w:val="18"/>
        </w:rPr>
        <w:t xml:space="preserve"> data </w:t>
      </w:r>
      <w:proofErr w:type="spellStart"/>
      <w:r w:rsidRPr="00C822EA">
        <w:rPr>
          <w:i/>
          <w:sz w:val="18"/>
        </w:rPr>
        <w:t>represent</w:t>
      </w:r>
      <w:proofErr w:type="spellEnd"/>
      <w:r w:rsidRPr="00C822EA">
        <w:rPr>
          <w:i/>
          <w:sz w:val="18"/>
        </w:rPr>
        <w:t xml:space="preserve"> </w:t>
      </w:r>
      <w:proofErr w:type="gramStart"/>
      <w:r w:rsidRPr="00C822EA">
        <w:rPr>
          <w:i/>
          <w:sz w:val="18"/>
        </w:rPr>
        <w:t>a</w:t>
      </w:r>
      <w:proofErr w:type="gramEnd"/>
      <w:r w:rsidRPr="00C822EA">
        <w:rPr>
          <w:i/>
          <w:sz w:val="18"/>
        </w:rPr>
        <w:t xml:space="preserve"> </w:t>
      </w:r>
      <w:proofErr w:type="spellStart"/>
      <w:r w:rsidRPr="00C822EA">
        <w:rPr>
          <w:i/>
          <w:sz w:val="18"/>
        </w:rPr>
        <w:t>weight</w:t>
      </w:r>
      <w:proofErr w:type="spellEnd"/>
      <w:r w:rsidRPr="00C822EA">
        <w:rPr>
          <w:i/>
          <w:sz w:val="18"/>
        </w:rPr>
        <w:t xml:space="preserve"> of 1/3. </w:t>
      </w:r>
    </w:p>
    <w:p w:rsidR="00C822EA" w:rsidRPr="00C822EA" w:rsidRDefault="00C822EA" w:rsidP="00505D04">
      <w:pPr>
        <w:pStyle w:val="Sansinterligne"/>
        <w:numPr>
          <w:ilvl w:val="0"/>
          <w:numId w:val="1"/>
        </w:numPr>
        <w:jc w:val="both"/>
        <w:rPr>
          <w:i/>
          <w:sz w:val="18"/>
        </w:rPr>
      </w:pPr>
      <w:r w:rsidRPr="00C822EA">
        <w:rPr>
          <w:i/>
          <w:sz w:val="18"/>
        </w:rPr>
        <w:t xml:space="preserve">In addition, </w:t>
      </w:r>
      <w:proofErr w:type="spellStart"/>
      <w:r w:rsidRPr="00C822EA">
        <w:rPr>
          <w:i/>
          <w:sz w:val="18"/>
        </w:rPr>
        <w:t>some</w:t>
      </w:r>
      <w:proofErr w:type="spellEnd"/>
      <w:r w:rsidRPr="00C822EA">
        <w:rPr>
          <w:i/>
          <w:sz w:val="18"/>
        </w:rPr>
        <w:t xml:space="preserve"> </w:t>
      </w:r>
      <w:proofErr w:type="spellStart"/>
      <w:r w:rsidRPr="00C822EA">
        <w:rPr>
          <w:i/>
          <w:sz w:val="18"/>
        </w:rPr>
        <w:t>criteria</w:t>
      </w:r>
      <w:proofErr w:type="spellEnd"/>
      <w:r w:rsidRPr="00C822EA">
        <w:rPr>
          <w:i/>
          <w:sz w:val="18"/>
        </w:rPr>
        <w:t xml:space="preserve"> are for background information </w:t>
      </w:r>
      <w:proofErr w:type="spellStart"/>
      <w:r w:rsidRPr="00C822EA">
        <w:rPr>
          <w:i/>
          <w:sz w:val="18"/>
        </w:rPr>
        <w:t>only</w:t>
      </w:r>
      <w:proofErr w:type="spellEnd"/>
      <w:r w:rsidRPr="00C822EA">
        <w:rPr>
          <w:i/>
          <w:sz w:val="18"/>
        </w:rPr>
        <w:t xml:space="preserve">, </w:t>
      </w:r>
      <w:proofErr w:type="spellStart"/>
      <w:r w:rsidRPr="00C822EA">
        <w:rPr>
          <w:i/>
          <w:sz w:val="18"/>
        </w:rPr>
        <w:t>which</w:t>
      </w:r>
      <w:proofErr w:type="spellEnd"/>
      <w:r w:rsidRPr="00C822EA">
        <w:rPr>
          <w:i/>
          <w:sz w:val="18"/>
        </w:rPr>
        <w:t xml:space="preserve"> </w:t>
      </w:r>
      <w:proofErr w:type="spellStart"/>
      <w:r w:rsidRPr="00C822EA">
        <w:rPr>
          <w:i/>
          <w:sz w:val="18"/>
        </w:rPr>
        <w:t>means</w:t>
      </w:r>
      <w:proofErr w:type="spellEnd"/>
      <w:r w:rsidRPr="00C822EA">
        <w:rPr>
          <w:i/>
          <w:sz w:val="18"/>
        </w:rPr>
        <w:t xml:space="preserve"> </w:t>
      </w:r>
      <w:proofErr w:type="spellStart"/>
      <w:r w:rsidRPr="00C822EA">
        <w:rPr>
          <w:i/>
          <w:sz w:val="18"/>
        </w:rPr>
        <w:t>that</w:t>
      </w:r>
      <w:proofErr w:type="spellEnd"/>
      <w:r w:rsidRPr="00C822EA">
        <w:rPr>
          <w:i/>
          <w:sz w:val="18"/>
        </w:rPr>
        <w:t xml:space="preserve"> </w:t>
      </w:r>
      <w:proofErr w:type="spellStart"/>
      <w:r w:rsidRPr="00C822EA">
        <w:rPr>
          <w:i/>
          <w:sz w:val="18"/>
        </w:rPr>
        <w:t>they</w:t>
      </w:r>
      <w:proofErr w:type="spellEnd"/>
      <w:r w:rsidRPr="00C822EA">
        <w:rPr>
          <w:i/>
          <w:sz w:val="18"/>
        </w:rPr>
        <w:t xml:space="preserve"> are not </w:t>
      </w:r>
      <w:proofErr w:type="spellStart"/>
      <w:r w:rsidRPr="00C822EA">
        <w:rPr>
          <w:i/>
          <w:sz w:val="18"/>
        </w:rPr>
        <w:t>used</w:t>
      </w:r>
      <w:proofErr w:type="spellEnd"/>
      <w:r w:rsidRPr="00C822EA">
        <w:rPr>
          <w:i/>
          <w:sz w:val="18"/>
        </w:rPr>
        <w:t xml:space="preserve"> in </w:t>
      </w:r>
      <w:proofErr w:type="spellStart"/>
      <w:r w:rsidRPr="00C822EA">
        <w:rPr>
          <w:i/>
          <w:sz w:val="18"/>
        </w:rPr>
        <w:t>calculating</w:t>
      </w:r>
      <w:proofErr w:type="spellEnd"/>
      <w:r w:rsidRPr="00C822EA">
        <w:rPr>
          <w:i/>
          <w:sz w:val="18"/>
        </w:rPr>
        <w:t xml:space="preserve"> the </w:t>
      </w:r>
      <w:proofErr w:type="spellStart"/>
      <w:r w:rsidRPr="00C822EA">
        <w:rPr>
          <w:i/>
          <w:sz w:val="18"/>
        </w:rPr>
        <w:t>overall</w:t>
      </w:r>
      <w:proofErr w:type="spellEnd"/>
      <w:r w:rsidRPr="00C822EA">
        <w:rPr>
          <w:i/>
          <w:sz w:val="18"/>
        </w:rPr>
        <w:t xml:space="preserve"> </w:t>
      </w:r>
      <w:proofErr w:type="spellStart"/>
      <w:r w:rsidRPr="00C822EA">
        <w:rPr>
          <w:i/>
          <w:sz w:val="18"/>
        </w:rPr>
        <w:t>competitiveness</w:t>
      </w:r>
      <w:proofErr w:type="spellEnd"/>
      <w:r w:rsidRPr="00C822EA">
        <w:rPr>
          <w:i/>
          <w:sz w:val="18"/>
        </w:rPr>
        <w:t xml:space="preserve"> </w:t>
      </w:r>
      <w:proofErr w:type="spellStart"/>
      <w:r w:rsidRPr="00C822EA">
        <w:rPr>
          <w:i/>
          <w:sz w:val="18"/>
        </w:rPr>
        <w:t>ranking</w:t>
      </w:r>
      <w:proofErr w:type="spellEnd"/>
      <w:r w:rsidRPr="00C822EA">
        <w:rPr>
          <w:i/>
          <w:sz w:val="18"/>
        </w:rPr>
        <w:t xml:space="preserve"> (</w:t>
      </w:r>
      <w:proofErr w:type="spellStart"/>
      <w:r w:rsidRPr="00C822EA">
        <w:rPr>
          <w:i/>
          <w:sz w:val="18"/>
        </w:rPr>
        <w:t>e.g</w:t>
      </w:r>
      <w:proofErr w:type="spellEnd"/>
      <w:r w:rsidRPr="00C822EA">
        <w:rPr>
          <w:i/>
          <w:sz w:val="18"/>
        </w:rPr>
        <w:t xml:space="preserve">. Population </w:t>
      </w:r>
      <w:proofErr w:type="spellStart"/>
      <w:r w:rsidRPr="00C822EA">
        <w:rPr>
          <w:i/>
          <w:sz w:val="18"/>
        </w:rPr>
        <w:t>under</w:t>
      </w:r>
      <w:proofErr w:type="spellEnd"/>
      <w:r w:rsidRPr="00C822EA">
        <w:rPr>
          <w:i/>
          <w:sz w:val="18"/>
        </w:rPr>
        <w:t xml:space="preserve"> 15). </w:t>
      </w:r>
    </w:p>
    <w:p w:rsidR="00C822EA" w:rsidRPr="00C822EA" w:rsidRDefault="00C822EA" w:rsidP="00505D04">
      <w:pPr>
        <w:pStyle w:val="Sansinterligne"/>
        <w:numPr>
          <w:ilvl w:val="0"/>
          <w:numId w:val="1"/>
        </w:numPr>
        <w:jc w:val="both"/>
        <w:rPr>
          <w:i/>
          <w:sz w:val="18"/>
        </w:rPr>
      </w:pPr>
      <w:proofErr w:type="spellStart"/>
      <w:r w:rsidRPr="00C822EA">
        <w:rPr>
          <w:i/>
          <w:sz w:val="18"/>
        </w:rPr>
        <w:t>Finally</w:t>
      </w:r>
      <w:proofErr w:type="spellEnd"/>
      <w:r w:rsidRPr="00C822EA">
        <w:rPr>
          <w:i/>
          <w:sz w:val="18"/>
        </w:rPr>
        <w:t xml:space="preserve">, </w:t>
      </w:r>
      <w:proofErr w:type="spellStart"/>
      <w:r w:rsidRPr="00C822EA">
        <w:rPr>
          <w:i/>
          <w:sz w:val="18"/>
        </w:rPr>
        <w:t>aggregating</w:t>
      </w:r>
      <w:proofErr w:type="spellEnd"/>
      <w:r w:rsidRPr="00C822EA">
        <w:rPr>
          <w:i/>
          <w:sz w:val="18"/>
        </w:rPr>
        <w:t xml:space="preserve"> the </w:t>
      </w:r>
      <w:proofErr w:type="spellStart"/>
      <w:r w:rsidRPr="00C822EA">
        <w:rPr>
          <w:i/>
          <w:sz w:val="18"/>
        </w:rPr>
        <w:t>results</w:t>
      </w:r>
      <w:proofErr w:type="spellEnd"/>
      <w:r w:rsidRPr="00C822EA">
        <w:rPr>
          <w:i/>
          <w:sz w:val="18"/>
        </w:rPr>
        <w:t xml:space="preserve"> of the 20 </w:t>
      </w:r>
      <w:proofErr w:type="spellStart"/>
      <w:r w:rsidRPr="00C822EA">
        <w:rPr>
          <w:i/>
          <w:sz w:val="18"/>
        </w:rPr>
        <w:t>sub-factors</w:t>
      </w:r>
      <w:proofErr w:type="spellEnd"/>
      <w:r w:rsidRPr="00C822EA">
        <w:rPr>
          <w:i/>
          <w:sz w:val="18"/>
        </w:rPr>
        <w:t xml:space="preserve"> </w:t>
      </w:r>
      <w:proofErr w:type="spellStart"/>
      <w:r w:rsidRPr="00C822EA">
        <w:rPr>
          <w:i/>
          <w:sz w:val="18"/>
        </w:rPr>
        <w:t>makes</w:t>
      </w:r>
      <w:proofErr w:type="spellEnd"/>
      <w:r w:rsidRPr="00C822EA">
        <w:rPr>
          <w:i/>
          <w:sz w:val="18"/>
        </w:rPr>
        <w:t xml:space="preserve"> the total consolidation, </w:t>
      </w:r>
      <w:proofErr w:type="spellStart"/>
      <w:r w:rsidRPr="00C822EA">
        <w:rPr>
          <w:i/>
          <w:sz w:val="18"/>
        </w:rPr>
        <w:t>which</w:t>
      </w:r>
      <w:proofErr w:type="spellEnd"/>
      <w:r w:rsidRPr="00C822EA">
        <w:rPr>
          <w:i/>
          <w:sz w:val="18"/>
        </w:rPr>
        <w:t xml:space="preserve"> leads to the </w:t>
      </w:r>
      <w:proofErr w:type="spellStart"/>
      <w:r w:rsidRPr="00C822EA">
        <w:rPr>
          <w:i/>
          <w:sz w:val="18"/>
        </w:rPr>
        <w:t>overall</w:t>
      </w:r>
      <w:proofErr w:type="spellEnd"/>
      <w:r w:rsidRPr="00C822EA">
        <w:rPr>
          <w:i/>
          <w:sz w:val="18"/>
        </w:rPr>
        <w:t xml:space="preserve"> </w:t>
      </w:r>
      <w:proofErr w:type="spellStart"/>
      <w:r w:rsidRPr="00C822EA">
        <w:rPr>
          <w:i/>
          <w:sz w:val="18"/>
        </w:rPr>
        <w:t>ranking</w:t>
      </w:r>
      <w:proofErr w:type="spellEnd"/>
      <w:r w:rsidRPr="00C822EA">
        <w:rPr>
          <w:i/>
          <w:sz w:val="18"/>
        </w:rPr>
        <w:t xml:space="preserve"> of the World </w:t>
      </w:r>
      <w:proofErr w:type="spellStart"/>
      <w:r w:rsidRPr="00C822EA">
        <w:rPr>
          <w:i/>
          <w:sz w:val="18"/>
        </w:rPr>
        <w:t>Competitiveness</w:t>
      </w:r>
      <w:proofErr w:type="spellEnd"/>
      <w:r w:rsidRPr="00C822EA">
        <w:rPr>
          <w:i/>
          <w:sz w:val="18"/>
        </w:rPr>
        <w:t xml:space="preserve"> </w:t>
      </w:r>
      <w:proofErr w:type="spellStart"/>
      <w:r w:rsidRPr="00C822EA">
        <w:rPr>
          <w:i/>
          <w:sz w:val="18"/>
        </w:rPr>
        <w:t>Yearbook</w:t>
      </w:r>
      <w:proofErr w:type="spellEnd"/>
      <w:r w:rsidRPr="00C822EA">
        <w:rPr>
          <w:i/>
          <w:sz w:val="18"/>
        </w:rPr>
        <w:t>.</w:t>
      </w:r>
    </w:p>
    <w:p w:rsidR="00A9488B" w:rsidRDefault="00A9488B" w:rsidP="00C822EA">
      <w:pPr>
        <w:jc w:val="both"/>
      </w:pPr>
    </w:p>
    <w:p w:rsidR="00CD22AF" w:rsidRPr="00CD22AF" w:rsidRDefault="00CD22AF" w:rsidP="0075003A">
      <w:pPr>
        <w:pStyle w:val="Sous-titre"/>
      </w:pPr>
      <w:r>
        <w:t>M</w:t>
      </w:r>
      <w:r w:rsidRPr="00CD22AF">
        <w:t>éthodologie de test</w:t>
      </w:r>
    </w:p>
    <w:p w:rsidR="00CD22AF" w:rsidRDefault="00CD22AF" w:rsidP="00CD22AF">
      <w:pPr>
        <w:jc w:val="both"/>
      </w:pPr>
      <w:r>
        <w:t xml:space="preserve">La comparaison de valeur moyenne ou médiane de deux groupes de points, d’un point de vue statistique, doit faire l’objet d’un test approprié. Il s’agit principalement de vérifier si la différence de moyenne/médiane observée est telle que le hasard seul n’aurait pu l’expliquer (ou alors dans moins </w:t>
      </w:r>
      <w:r>
        <w:lastRenderedPageBreak/>
        <w:t>de 5% des cas, ce seuil étant une valeur communément utilisée en statistiques).</w:t>
      </w:r>
      <w:r w:rsidR="008765E9">
        <w:t xml:space="preserve"> </w:t>
      </w:r>
      <w:r>
        <w:t>Parmi les nombreux</w:t>
      </w:r>
      <w:r w:rsidR="005D2925">
        <w:t xml:space="preserve"> tests existants, nous sélectionnons</w:t>
      </w:r>
      <w:r>
        <w:t xml:space="preserve"> le test </w:t>
      </w:r>
      <w:r w:rsidR="004477E7">
        <w:t xml:space="preserve">non-paramétrique </w:t>
      </w:r>
      <w:r>
        <w:t>de</w:t>
      </w:r>
      <w:r w:rsidR="004477E7">
        <w:t xml:space="preserve"> rang de</w:t>
      </w:r>
      <w:r>
        <w:t xml:space="preserve"> </w:t>
      </w:r>
      <w:proofErr w:type="spellStart"/>
      <w:r w:rsidRPr="000D4736">
        <w:t>Wilcoxon</w:t>
      </w:r>
      <w:proofErr w:type="spellEnd"/>
      <w:r w:rsidRPr="000D4736">
        <w:t>-Mann-Whitney</w:t>
      </w:r>
      <w:r>
        <w:t xml:space="preserve">, qui compare la médiane de deux groupes d’une population, et ne requiert aucune hypothèse préalable. Il sera utilisé dans sa version non-appariée, au seuil de rejet de 5%, symétrique (sans a priori sur le sens de la comparaison). </w:t>
      </w:r>
    </w:p>
    <w:p w:rsidR="008765E9" w:rsidRDefault="008765E9" w:rsidP="00CD22AF">
      <w:pPr>
        <w:jc w:val="both"/>
      </w:pPr>
      <w:r>
        <w:t xml:space="preserve">L’étude d’un lien entre deux séries de valeurs numériques est réalisée au moyen d’une régression </w:t>
      </w:r>
      <w:r w:rsidR="00860E6D">
        <w:t>linéaire</w:t>
      </w:r>
      <m:oMath>
        <m:r>
          <w:rPr>
            <w:rFonts w:ascii="Cambria Math" w:hAnsi="Cambria Math"/>
          </w:rPr>
          <m:t xml:space="preserve"> y=ax+b</m:t>
        </m:r>
      </m:oMath>
      <w:r>
        <w:t xml:space="preserve">. </w:t>
      </w:r>
      <w:r w:rsidR="00860E6D">
        <w:t xml:space="preserve">La variable </w:t>
      </w:r>
      <m:oMath>
        <m:r>
          <w:rPr>
            <w:rFonts w:ascii="Cambria Math" w:hAnsi="Cambria Math"/>
          </w:rPr>
          <m:t>x</m:t>
        </m:r>
      </m:oMath>
      <w:r w:rsidR="00860E6D">
        <w:t xml:space="preserve"> est également testée pour sa significativité, et l</w:t>
      </w:r>
      <w:r w:rsidR="003A3D06">
        <w:t xml:space="preserve">es hypothèses de validité du modèle </w:t>
      </w:r>
      <w:r w:rsidR="002B5D4D">
        <w:t xml:space="preserve">sont alors vérifiées (comme par exemple la normalité des résidus). </w:t>
      </w:r>
    </w:p>
    <w:p w:rsidR="003B4498" w:rsidRDefault="003B4498" w:rsidP="00CD22AF">
      <w:pPr>
        <w:jc w:val="both"/>
      </w:pPr>
      <w:r>
        <w:t>L’analyse des données est effectuée à l’aide du logiciel R</w:t>
      </w:r>
      <w:r w:rsidR="00C80EFC">
        <w:t>-Studio couplé à R</w:t>
      </w:r>
      <w:r>
        <w:t xml:space="preserve"> version 3.2.3.</w:t>
      </w:r>
    </w:p>
    <w:p w:rsidR="00C822EA" w:rsidRDefault="00C822EA" w:rsidP="00505D04">
      <w:pPr>
        <w:pStyle w:val="Citationintense"/>
      </w:pPr>
      <w:r>
        <w:t>Description des données</w:t>
      </w:r>
    </w:p>
    <w:p w:rsidR="00214CC3" w:rsidRDefault="000036DE" w:rsidP="00505D04">
      <w:pPr>
        <w:jc w:val="both"/>
      </w:pPr>
      <w:r>
        <w:t xml:space="preserve">Les données ont été récupérées manuellement à partir du tableau communiqué à la presse, visible </w:t>
      </w:r>
      <w:hyperlink r:id="rId10" w:history="1">
        <w:r w:rsidRPr="00ED2BF1">
          <w:rPr>
            <w:rStyle w:val="Lienhypertexte"/>
          </w:rPr>
          <w:t>ici</w:t>
        </w:r>
      </w:hyperlink>
      <w:r w:rsidR="00ED2BF1">
        <w:t xml:space="preserve">. </w:t>
      </w:r>
      <w:r w:rsidR="00214CC3">
        <w:t>Les données sont complètes (pas de valeurs manquantes ou aberrantes) mais ne représentent qu’à peine un tiers des 197 pays du monde reconnus par l’ONU (</w:t>
      </w:r>
      <w:hyperlink r:id="rId11" w:history="1">
        <w:r w:rsidR="00214CC3" w:rsidRPr="0053464C">
          <w:rPr>
            <w:rStyle w:val="Lienhypertexte"/>
          </w:rPr>
          <w:t>http://www.statistiques-mondiales.com/onu.htm</w:t>
        </w:r>
      </w:hyperlink>
      <w:r w:rsidR="00214CC3">
        <w:t xml:space="preserve">). </w:t>
      </w:r>
    </w:p>
    <w:p w:rsidR="00ED2BF1" w:rsidRDefault="00ED2BF1" w:rsidP="00505D04">
      <w:pPr>
        <w:jc w:val="both"/>
      </w:pPr>
      <w:r>
        <w:t>Les données comprennent</w:t>
      </w:r>
      <w:r w:rsidR="00926590">
        <w:t>, outre le nom de chacun des 61 pays, les</w:t>
      </w:r>
      <w:r>
        <w:t xml:space="preserve"> variables quantitatives : </w:t>
      </w:r>
    </w:p>
    <w:p w:rsidR="00ED2BF1" w:rsidRDefault="00ED2BF1" w:rsidP="00505D04">
      <w:pPr>
        <w:pStyle w:val="Paragraphedeliste"/>
        <w:numPr>
          <w:ilvl w:val="0"/>
          <w:numId w:val="2"/>
        </w:numPr>
        <w:jc w:val="both"/>
      </w:pPr>
      <w:r>
        <w:t>le score et le rang obtenu en 2016,</w:t>
      </w:r>
    </w:p>
    <w:p w:rsidR="00C822EA" w:rsidRDefault="00ED2BF1" w:rsidP="00505D04">
      <w:pPr>
        <w:pStyle w:val="Paragraphedeliste"/>
        <w:numPr>
          <w:ilvl w:val="0"/>
          <w:numId w:val="2"/>
        </w:numPr>
        <w:jc w:val="both"/>
      </w:pPr>
      <w:r>
        <w:t xml:space="preserve">le rang obtenu en 2015. </w:t>
      </w:r>
    </w:p>
    <w:p w:rsidR="0018679F" w:rsidRDefault="0018679F" w:rsidP="0018679F">
      <w:pPr>
        <w:jc w:val="both"/>
      </w:pPr>
      <w:r>
        <w:t xml:space="preserve">Rappelons que le score est calculé par une agrégation d’indices, puis subit une transformation </w:t>
      </w:r>
      <w:proofErr w:type="spellStart"/>
      <w:r w:rsidRPr="0035380E">
        <w:rPr>
          <w:i/>
        </w:rPr>
        <w:t>min-max</w:t>
      </w:r>
      <w:proofErr w:type="spellEnd"/>
      <w:r>
        <w:t xml:space="preserve"> pour s’afficher entre 0 et 100</w:t>
      </w:r>
      <w:r w:rsidR="0035380E">
        <w:t xml:space="preserve">, il ne s’agit donc pas d’une variable « bornée » </w:t>
      </w:r>
      <w:r w:rsidR="0035380E" w:rsidRPr="0035380E">
        <w:rPr>
          <w:i/>
        </w:rPr>
        <w:t>sensu stricto</w:t>
      </w:r>
      <w:r w:rsidR="0035380E">
        <w:t xml:space="preserve"> qui requerrait un soin particulier (voir par exemple cette </w:t>
      </w:r>
      <w:hyperlink r:id="rId12" w:history="1">
        <w:r w:rsidR="0035380E" w:rsidRPr="0035380E">
          <w:rPr>
            <w:rStyle w:val="Lienhypertexte"/>
          </w:rPr>
          <w:t>discussion</w:t>
        </w:r>
      </w:hyperlink>
      <w:r w:rsidR="0035380E">
        <w:t>) lors de sa modélisation</w:t>
      </w:r>
      <w:r>
        <w:t xml:space="preserve">. La distribution des scores présente </w:t>
      </w:r>
      <w:r w:rsidR="0035380E">
        <w:t xml:space="preserve">ici </w:t>
      </w:r>
      <w:r>
        <w:t>un aspect gaussien avec une moyenne à 73 et un écart-type de 15</w:t>
      </w:r>
      <w:r w:rsidR="0035380E">
        <w:t xml:space="preserve">. Un test de normalité n’est pas rejeté </w:t>
      </w:r>
      <w:r w:rsidR="00FC490D">
        <w:t>au seuil de</w:t>
      </w:r>
      <w:r w:rsidR="0035380E">
        <w:t xml:space="preserve"> 5%</w:t>
      </w:r>
      <w:r>
        <w:t xml:space="preserve">. </w:t>
      </w:r>
    </w:p>
    <w:p w:rsidR="00C822EA" w:rsidRDefault="00ED2BF1" w:rsidP="00505D04">
      <w:pPr>
        <w:jc w:val="both"/>
      </w:pPr>
      <w:r>
        <w:t xml:space="preserve">On réalise alors une jointure avec une autre source </w:t>
      </w:r>
      <w:r w:rsidR="00846A09">
        <w:t>de donnée</w:t>
      </w:r>
      <w:r>
        <w:t> :</w:t>
      </w:r>
      <w:r w:rsidR="00894083">
        <w:t xml:space="preserve"> </w:t>
      </w:r>
      <w:r>
        <w:t xml:space="preserve">le tableau des populations et superficie de l’ensemble des pays du globe disponible sur </w:t>
      </w:r>
      <w:hyperlink r:id="rId13" w:history="1">
        <w:r w:rsidRPr="00ED2BF1">
          <w:rPr>
            <w:rStyle w:val="Lienhypertexte"/>
          </w:rPr>
          <w:t>Wikipédia</w:t>
        </w:r>
      </w:hyperlink>
      <w:r>
        <w:t xml:space="preserve">, </w:t>
      </w:r>
      <w:r w:rsidR="00F71E4D">
        <w:t>dans sa version</w:t>
      </w:r>
      <w:r>
        <w:t xml:space="preserve"> du 27/06/2016. </w:t>
      </w:r>
    </w:p>
    <w:p w:rsidR="00846A09" w:rsidRDefault="00846A09" w:rsidP="00505D04">
      <w:pPr>
        <w:jc w:val="both"/>
      </w:pPr>
      <w:r>
        <w:t>On se propose de transformer les variables ‘population’ et ‘superficie’ pour éviter des écarts trop grands (4 et 6 ordres de grandeur, respectivement, entre les valeurs extrêmes) en</w:t>
      </w:r>
      <w:r w:rsidR="00FB5CBC">
        <w:t xml:space="preserve"> passant au logarithme </w:t>
      </w:r>
      <w:r w:rsidR="004512E5">
        <w:t>décimal</w:t>
      </w:r>
      <w:r w:rsidR="00FB5CBC">
        <w:t>, cela a</w:t>
      </w:r>
      <w:r w:rsidR="00C80EFC">
        <w:t>yant</w:t>
      </w:r>
      <w:r w:rsidR="00FB5CBC">
        <w:t xml:space="preserve"> pour effet de normaliser la distribution des valeurs</w:t>
      </w:r>
      <w:r w:rsidR="009B6FFB">
        <w:t xml:space="preserve"> (test de normalité de Shapiro accepté </w:t>
      </w:r>
      <w:proofErr w:type="gramStart"/>
      <w:r w:rsidR="009B6FFB">
        <w:t xml:space="preserve">avec  </w:t>
      </w:r>
      <w:proofErr w:type="gramEnd"/>
      <m:oMath>
        <m:r>
          <w:rPr>
            <w:rFonts w:ascii="Cambria Math" w:hAnsi="Cambria Math"/>
          </w:rPr>
          <m:t>p-value=0.71</m:t>
        </m:r>
      </m:oMath>
      <w:r w:rsidR="00FB5CBC">
        <w:t>).</w:t>
      </w:r>
    </w:p>
    <w:p w:rsidR="004512E5" w:rsidRDefault="00D61382" w:rsidP="001E6580">
      <w:pPr>
        <w:pStyle w:val="Sansinterligne"/>
        <w:jc w:val="center"/>
      </w:pPr>
      <w:r>
        <w:rPr>
          <w:noProof/>
          <w:lang w:eastAsia="fr-FR"/>
        </w:rPr>
        <w:drawing>
          <wp:inline distT="0" distB="0" distL="0" distR="0" wp14:anchorId="24303AA0" wp14:editId="6945C166">
            <wp:extent cx="4919926" cy="17219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4669" r="-1"/>
                    <a:stretch/>
                  </pic:blipFill>
                  <pic:spPr bwMode="auto">
                    <a:xfrm>
                      <a:off x="0" y="0"/>
                      <a:ext cx="4925320" cy="1723810"/>
                    </a:xfrm>
                    <a:prstGeom prst="rect">
                      <a:avLst/>
                    </a:prstGeom>
                    <a:ln>
                      <a:noFill/>
                    </a:ln>
                    <a:extLst>
                      <a:ext uri="{53640926-AAD7-44D8-BBD7-CCE9431645EC}">
                        <a14:shadowObscured xmlns:a14="http://schemas.microsoft.com/office/drawing/2010/main"/>
                      </a:ext>
                    </a:extLst>
                  </pic:spPr>
                </pic:pic>
              </a:graphicData>
            </a:graphic>
          </wp:inline>
        </w:drawing>
      </w:r>
    </w:p>
    <w:p w:rsidR="00FB5CBC" w:rsidRDefault="004512E5" w:rsidP="004512E5">
      <w:pPr>
        <w:pStyle w:val="Lgende"/>
        <w:jc w:val="center"/>
      </w:pPr>
      <w:r>
        <w:t xml:space="preserve">Figure </w:t>
      </w:r>
      <w:fldSimple w:instr=" SEQ Figure \* ARABIC ">
        <w:r w:rsidR="00D114A9">
          <w:rPr>
            <w:noProof/>
          </w:rPr>
          <w:t>1</w:t>
        </w:r>
      </w:fldSimple>
      <w:r>
        <w:t>: distribution de fréquence et densité de population dans 61 pays du monde</w:t>
      </w:r>
    </w:p>
    <w:p w:rsidR="00795674" w:rsidRDefault="00795674" w:rsidP="00732161">
      <w:pPr>
        <w:jc w:val="both"/>
      </w:pPr>
      <w:bookmarkStart w:id="0" w:name="_GoBack"/>
      <w:bookmarkEnd w:id="0"/>
    </w:p>
    <w:p w:rsidR="001E6580" w:rsidRDefault="001E6580" w:rsidP="00732161">
      <w:pPr>
        <w:jc w:val="both"/>
      </w:pPr>
    </w:p>
    <w:p w:rsidR="00505D04" w:rsidRDefault="00505D04" w:rsidP="00505D04">
      <w:pPr>
        <w:pStyle w:val="Citationintense"/>
      </w:pPr>
      <w:r>
        <w:lastRenderedPageBreak/>
        <w:t>Analyses et résultats</w:t>
      </w:r>
    </w:p>
    <w:p w:rsidR="00753C49" w:rsidRDefault="008765E9" w:rsidP="008765E9">
      <w:pPr>
        <w:pStyle w:val="Sous-titre"/>
      </w:pPr>
      <w:r>
        <w:t>Test d’un lien entre superficie d’un pays et score</w:t>
      </w:r>
    </w:p>
    <w:p w:rsidR="000D4736" w:rsidRDefault="00684B5A" w:rsidP="00505D04">
      <w:pPr>
        <w:jc w:val="both"/>
      </w:pPr>
      <w:r>
        <w:t>Le modèle linéaire</w:t>
      </w:r>
      <w:r w:rsidR="0033001F">
        <w:t xml:space="preserve"> (par méthode des moindres carrés)</w:t>
      </w:r>
      <w:r>
        <w:t xml:space="preserve"> </w:t>
      </w:r>
      <w:r w:rsidR="003B4498">
        <w:t xml:space="preserve">du score en fonction </w:t>
      </w:r>
      <w:r>
        <w:t xml:space="preserve">du logarithme de la </w:t>
      </w:r>
      <w:r w:rsidR="003B4498">
        <w:t>superficie du pays</w:t>
      </w:r>
      <w:r w:rsidR="00532BB6">
        <w:t xml:space="preserve"> m</w:t>
      </w:r>
      <w:r w:rsidR="0033001F">
        <w:t xml:space="preserve">ontre qu’un pays comme les USA – </w:t>
      </w:r>
      <w:r w:rsidR="00532BB6">
        <w:t>respectivement la Chine pour le modèle population</w:t>
      </w:r>
      <w:r w:rsidR="0033001F">
        <w:t xml:space="preserve"> – </w:t>
      </w:r>
      <w:r>
        <w:t>même après transformation de la variable, continue à influencer</w:t>
      </w:r>
      <w:r w:rsidR="0033001F">
        <w:t xml:space="preserve"> fortement</w:t>
      </w:r>
      <w:r w:rsidR="00532BB6">
        <w:t xml:space="preserve"> la régressi</w:t>
      </w:r>
      <w:r w:rsidR="00C80EFC">
        <w:t>on, et ce n’est pas souhaitable</w:t>
      </w:r>
      <w:r w:rsidR="0033001F">
        <w:t>. La présence de c</w:t>
      </w:r>
      <w:r w:rsidR="00C80EFC">
        <w:t>es po</w:t>
      </w:r>
      <w:r w:rsidR="0033001F">
        <w:t xml:space="preserve">ints particulièrement influents, </w:t>
      </w:r>
      <w:r w:rsidR="00C80EFC">
        <w:t>évalués par la distance de Cook</w:t>
      </w:r>
      <w:r w:rsidR="0033001F">
        <w:t xml:space="preserve"> (</w:t>
      </w:r>
      <w:r w:rsidR="00C80EFC">
        <w:t xml:space="preserve">pour tout </w:t>
      </w:r>
      <w:proofErr w:type="gramStart"/>
      <w:r w:rsidR="00C80EFC">
        <w:t xml:space="preserve">point  </w:t>
      </w:r>
      <w:proofErr w:type="gramEnd"/>
      <m:oMath>
        <m:r>
          <w:rPr>
            <w:rFonts w:ascii="Cambria Math" w:hAnsi="Cambria Math"/>
          </w:rPr>
          <m:t>i</m:t>
        </m:r>
      </m:oMath>
      <w:r w:rsidR="00C80EFC">
        <w:t xml:space="preserve">, elle mesure la variation des coefficients du modèle sans ce </w:t>
      </w:r>
      <m:oMath>
        <m:sSup>
          <m:sSupPr>
            <m:ctrlPr>
              <w:rPr>
                <w:rFonts w:ascii="Cambria Math" w:hAnsi="Cambria Math"/>
                <w:i/>
              </w:rPr>
            </m:ctrlPr>
          </m:sSupPr>
          <m:e>
            <m:r>
              <w:rPr>
                <w:rFonts w:ascii="Cambria Math" w:hAnsi="Cambria Math"/>
              </w:rPr>
              <m:t>i</m:t>
            </m:r>
          </m:e>
          <m:sup>
            <m:r>
              <w:rPr>
                <w:rFonts w:ascii="Cambria Math" w:hAnsi="Cambria Math"/>
              </w:rPr>
              <m:t>ème</m:t>
            </m:r>
          </m:sup>
        </m:sSup>
      </m:oMath>
      <w:r w:rsidR="00C80EFC">
        <w:t xml:space="preserve"> point)</w:t>
      </w:r>
      <w:r w:rsidR="0033001F">
        <w:t xml:space="preserve">, suggère de plutôt utiliser </w:t>
      </w:r>
      <w:r w:rsidR="0033001F">
        <w:t xml:space="preserve">régression robuste </w:t>
      </w:r>
      <w:r w:rsidR="0033001F">
        <w:t xml:space="preserve">pour l’estimation des coefficients </w:t>
      </w:r>
      <w:r w:rsidR="0033001F">
        <w:t>(</w:t>
      </w:r>
      <w:r w:rsidR="0033001F" w:rsidRPr="0033001F">
        <w:rPr>
          <w:i/>
        </w:rPr>
        <w:t>estimateur</w:t>
      </w:r>
      <w:r w:rsidR="0033001F">
        <w:t xml:space="preserve"> </w:t>
      </w:r>
      <w:r w:rsidR="0033001F" w:rsidRPr="00FC490D">
        <w:rPr>
          <w:i/>
        </w:rPr>
        <w:t>M</w:t>
      </w:r>
      <w:r w:rsidR="0033001F">
        <w:t xml:space="preserve">), </w:t>
      </w:r>
      <w:r w:rsidR="0033001F">
        <w:t xml:space="preserve">qui est beaucoup moins </w:t>
      </w:r>
      <w:r w:rsidR="0033001F">
        <w:t xml:space="preserve">sensible aux valeurs isolées. </w:t>
      </w:r>
    </w:p>
    <w:p w:rsidR="00C02915" w:rsidRDefault="00C02915" w:rsidP="00C02915">
      <w:pPr>
        <w:pStyle w:val="Lgende"/>
        <w:keepNext/>
        <w:jc w:val="center"/>
      </w:pPr>
      <w:bookmarkStart w:id="1" w:name="_Ref456214924"/>
      <w:r>
        <w:t xml:space="preserve">Tableau </w:t>
      </w:r>
      <w:fldSimple w:instr=" SEQ Tableau \* ARABIC ">
        <w:r w:rsidR="00D114A9">
          <w:rPr>
            <w:noProof/>
          </w:rPr>
          <w:t>1</w:t>
        </w:r>
      </w:fldSimple>
      <w:bookmarkEnd w:id="1"/>
      <w:r>
        <w:t>: Résultats du modèle</w:t>
      </w:r>
      <w:r w:rsidR="00795674">
        <w:t xml:space="preserve"> linéaire</w:t>
      </w:r>
      <w:r w:rsidR="00C80EFC">
        <w:t xml:space="preserve"> robuste</w:t>
      </w:r>
      <w:r>
        <w:t xml:space="preserve"> score2016~log.superficie</w:t>
      </w:r>
    </w:p>
    <w:tbl>
      <w:tblPr>
        <w:tblStyle w:val="Tableauliste3"/>
        <w:tblW w:w="0" w:type="auto"/>
        <w:tblLook w:val="04A0" w:firstRow="1" w:lastRow="0" w:firstColumn="1" w:lastColumn="0" w:noHBand="0" w:noVBand="1"/>
      </w:tblPr>
      <w:tblGrid>
        <w:gridCol w:w="1842"/>
        <w:gridCol w:w="1842"/>
        <w:gridCol w:w="1842"/>
        <w:gridCol w:w="1843"/>
        <w:gridCol w:w="1843"/>
      </w:tblGrid>
      <w:tr w:rsidR="00C02915" w:rsidTr="00C029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Pr>
          <w:p w:rsidR="00C02915" w:rsidRDefault="00C02915" w:rsidP="001E6580">
            <w:pPr>
              <w:pStyle w:val="Sansinterligne"/>
            </w:pPr>
          </w:p>
        </w:tc>
        <w:tc>
          <w:tcPr>
            <w:tcW w:w="1842" w:type="dxa"/>
          </w:tcPr>
          <w:p w:rsidR="00C02915" w:rsidRDefault="00C02915" w:rsidP="001E6580">
            <w:pPr>
              <w:pStyle w:val="Sansinterligne"/>
              <w:cnfStyle w:val="100000000000" w:firstRow="1" w:lastRow="0" w:firstColumn="0" w:lastColumn="0" w:oddVBand="0" w:evenVBand="0" w:oddHBand="0" w:evenHBand="0" w:firstRowFirstColumn="0" w:firstRowLastColumn="0" w:lastRowFirstColumn="0" w:lastRowLastColumn="0"/>
            </w:pPr>
            <w:r>
              <w:t>Estimation</w:t>
            </w:r>
          </w:p>
        </w:tc>
        <w:tc>
          <w:tcPr>
            <w:tcW w:w="1842" w:type="dxa"/>
          </w:tcPr>
          <w:p w:rsidR="00C02915" w:rsidRDefault="00C02915" w:rsidP="001E6580">
            <w:pPr>
              <w:pStyle w:val="Sansinterligne"/>
              <w:cnfStyle w:val="100000000000" w:firstRow="1" w:lastRow="0" w:firstColumn="0" w:lastColumn="0" w:oddVBand="0" w:evenVBand="0" w:oddHBand="0" w:evenHBand="0" w:firstRowFirstColumn="0" w:firstRowLastColumn="0" w:lastRowFirstColumn="0" w:lastRowLastColumn="0"/>
            </w:pPr>
            <w:r>
              <w:t>F-stat</w:t>
            </w:r>
          </w:p>
        </w:tc>
        <w:tc>
          <w:tcPr>
            <w:tcW w:w="1843" w:type="dxa"/>
          </w:tcPr>
          <w:p w:rsidR="00C02915" w:rsidRDefault="00C02915" w:rsidP="001E6580">
            <w:pPr>
              <w:pStyle w:val="Sansinterligne"/>
              <w:cnfStyle w:val="100000000000" w:firstRow="1" w:lastRow="0" w:firstColumn="0" w:lastColumn="0" w:oddVBand="0" w:evenVBand="0" w:oddHBand="0" w:evenHBand="0" w:firstRowFirstColumn="0" w:firstRowLastColumn="0" w:lastRowFirstColumn="0" w:lastRowLastColumn="0"/>
            </w:pPr>
            <w:r>
              <w:t>p-value</w:t>
            </w:r>
          </w:p>
        </w:tc>
        <w:tc>
          <w:tcPr>
            <w:tcW w:w="1843" w:type="dxa"/>
          </w:tcPr>
          <w:p w:rsidR="00C02915" w:rsidRDefault="00C02915" w:rsidP="001E6580">
            <w:pPr>
              <w:pStyle w:val="Sansinterligne"/>
              <w:cnfStyle w:val="100000000000" w:firstRow="1" w:lastRow="0" w:firstColumn="0" w:lastColumn="0" w:oddVBand="0" w:evenVBand="0" w:oddHBand="0" w:evenHBand="0" w:firstRowFirstColumn="0" w:firstRowLastColumn="0" w:lastRowFirstColumn="0" w:lastRowLastColumn="0"/>
            </w:pPr>
            <w:r>
              <w:t>Validité modèle</w:t>
            </w:r>
          </w:p>
        </w:tc>
      </w:tr>
      <w:tr w:rsidR="00C02915" w:rsidTr="00C02915">
        <w:tc>
          <w:tcPr>
            <w:cnfStyle w:val="001000000000" w:firstRow="0" w:lastRow="0" w:firstColumn="1" w:lastColumn="0" w:oddVBand="0" w:evenVBand="0" w:oddHBand="0" w:evenHBand="0" w:firstRowFirstColumn="0" w:firstRowLastColumn="0" w:lastRowFirstColumn="0" w:lastRowLastColumn="0"/>
            <w:tcW w:w="1842" w:type="dxa"/>
          </w:tcPr>
          <w:p w:rsidR="00C02915" w:rsidRDefault="00C02915" w:rsidP="001E6580">
            <w:pPr>
              <w:pStyle w:val="Sansinterligne"/>
            </w:pPr>
            <w:proofErr w:type="spellStart"/>
            <w:r>
              <w:t>Intercept</w:t>
            </w:r>
            <w:proofErr w:type="spellEnd"/>
          </w:p>
        </w:tc>
        <w:tc>
          <w:tcPr>
            <w:tcW w:w="1842" w:type="dxa"/>
          </w:tcPr>
          <w:p w:rsidR="00C02915" w:rsidRDefault="00C02915" w:rsidP="001E6580">
            <w:pPr>
              <w:pStyle w:val="Sansinterligne"/>
              <w:cnfStyle w:val="000000000000" w:firstRow="0" w:lastRow="0" w:firstColumn="0" w:lastColumn="0" w:oddVBand="0" w:evenVBand="0" w:oddHBand="0" w:evenHBand="0" w:firstRowFirstColumn="0" w:firstRowLastColumn="0" w:lastRowFirstColumn="0" w:lastRowLastColumn="0"/>
            </w:pPr>
            <w:r>
              <w:t>91.1</w:t>
            </w:r>
          </w:p>
        </w:tc>
        <w:tc>
          <w:tcPr>
            <w:tcW w:w="1842" w:type="dxa"/>
          </w:tcPr>
          <w:p w:rsidR="00C02915" w:rsidRDefault="00C02915" w:rsidP="001E6580">
            <w:pPr>
              <w:pStyle w:val="Sansinterligne"/>
              <w:cnfStyle w:val="000000000000" w:firstRow="0" w:lastRow="0" w:firstColumn="0" w:lastColumn="0" w:oddVBand="0" w:evenVBand="0" w:oddHBand="0" w:evenHBand="0" w:firstRowFirstColumn="0" w:firstRowLastColumn="0" w:lastRowFirstColumn="0" w:lastRowLastColumn="0"/>
            </w:pPr>
          </w:p>
        </w:tc>
        <w:tc>
          <w:tcPr>
            <w:tcW w:w="1843" w:type="dxa"/>
          </w:tcPr>
          <w:p w:rsidR="00C02915" w:rsidRDefault="00C02915" w:rsidP="001E6580">
            <w:pPr>
              <w:pStyle w:val="Sansinterligne"/>
              <w:cnfStyle w:val="000000000000" w:firstRow="0" w:lastRow="0" w:firstColumn="0" w:lastColumn="0" w:oddVBand="0" w:evenVBand="0" w:oddHBand="0" w:evenHBand="0" w:firstRowFirstColumn="0" w:firstRowLastColumn="0" w:lastRowFirstColumn="0" w:lastRowLastColumn="0"/>
            </w:pPr>
          </w:p>
        </w:tc>
        <w:tc>
          <w:tcPr>
            <w:tcW w:w="1843" w:type="dxa"/>
            <w:vMerge w:val="restart"/>
            <w:vAlign w:val="center"/>
          </w:tcPr>
          <w:p w:rsidR="00C02915" w:rsidRDefault="00C02915" w:rsidP="001E6580">
            <w:pPr>
              <w:pStyle w:val="Sansinterligne"/>
              <w:cnfStyle w:val="000000000000" w:firstRow="0" w:lastRow="0" w:firstColumn="0" w:lastColumn="0" w:oddVBand="0" w:evenVBand="0" w:oddHBand="0" w:evenHBand="0" w:firstRowFirstColumn="0" w:firstRowLastColumn="0" w:lastRowFirstColumn="0" w:lastRowLastColumn="0"/>
            </w:pPr>
            <w:r>
              <w:t>OUI</w:t>
            </w:r>
          </w:p>
        </w:tc>
      </w:tr>
      <w:tr w:rsidR="00C02915" w:rsidTr="00C02915">
        <w:tc>
          <w:tcPr>
            <w:cnfStyle w:val="001000000000" w:firstRow="0" w:lastRow="0" w:firstColumn="1" w:lastColumn="0" w:oddVBand="0" w:evenVBand="0" w:oddHBand="0" w:evenHBand="0" w:firstRowFirstColumn="0" w:firstRowLastColumn="0" w:lastRowFirstColumn="0" w:lastRowLastColumn="0"/>
            <w:tcW w:w="1842" w:type="dxa"/>
          </w:tcPr>
          <w:p w:rsidR="00C02915" w:rsidRDefault="00C02915" w:rsidP="001E6580">
            <w:pPr>
              <w:pStyle w:val="Sansinterligne"/>
            </w:pPr>
            <w:proofErr w:type="gramStart"/>
            <w:r>
              <w:t>Log</w:t>
            </w:r>
            <w:r w:rsidR="006579C2">
              <w:t>10</w:t>
            </w:r>
            <w:r>
              <w:t>(</w:t>
            </w:r>
            <w:proofErr w:type="gramEnd"/>
            <w:r>
              <w:t>superficie)</w:t>
            </w:r>
          </w:p>
        </w:tc>
        <w:tc>
          <w:tcPr>
            <w:tcW w:w="1842" w:type="dxa"/>
          </w:tcPr>
          <w:p w:rsidR="00C02915" w:rsidRDefault="00C02915" w:rsidP="001E6580">
            <w:pPr>
              <w:pStyle w:val="Sansinterligne"/>
              <w:cnfStyle w:val="000000000000" w:firstRow="0" w:lastRow="0" w:firstColumn="0" w:lastColumn="0" w:oddVBand="0" w:evenVBand="0" w:oddHBand="0" w:evenHBand="0" w:firstRowFirstColumn="0" w:firstRowLastColumn="0" w:lastRowFirstColumn="0" w:lastRowLastColumn="0"/>
            </w:pPr>
            <w:r>
              <w:t>-</w:t>
            </w:r>
            <w:r w:rsidR="0045511D">
              <w:t>3.51</w:t>
            </w:r>
          </w:p>
        </w:tc>
        <w:tc>
          <w:tcPr>
            <w:tcW w:w="1842" w:type="dxa"/>
          </w:tcPr>
          <w:p w:rsidR="00C02915" w:rsidRDefault="00C02915" w:rsidP="001E6580">
            <w:pPr>
              <w:pStyle w:val="Sansinterligne"/>
              <w:cnfStyle w:val="000000000000" w:firstRow="0" w:lastRow="0" w:firstColumn="0" w:lastColumn="0" w:oddVBand="0" w:evenVBand="0" w:oddHBand="0" w:evenHBand="0" w:firstRowFirstColumn="0" w:firstRowLastColumn="0" w:lastRowFirstColumn="0" w:lastRowLastColumn="0"/>
            </w:pPr>
            <w:r>
              <w:t>6.17</w:t>
            </w:r>
          </w:p>
        </w:tc>
        <w:tc>
          <w:tcPr>
            <w:tcW w:w="1843" w:type="dxa"/>
          </w:tcPr>
          <w:p w:rsidR="00C02915" w:rsidRPr="001E6580" w:rsidRDefault="00C02915" w:rsidP="001E6580">
            <w:pPr>
              <w:pStyle w:val="Sansinterligne"/>
              <w:cnfStyle w:val="000000000000" w:firstRow="0" w:lastRow="0" w:firstColumn="0" w:lastColumn="0" w:oddVBand="0" w:evenVBand="0" w:oddHBand="0" w:evenHBand="0" w:firstRowFirstColumn="0" w:firstRowLastColumn="0" w:lastRowFirstColumn="0" w:lastRowLastColumn="0"/>
              <w:rPr>
                <w:b/>
              </w:rPr>
            </w:pPr>
            <w:r w:rsidRPr="001E6580">
              <w:rPr>
                <w:b/>
                <w:color w:val="00B050"/>
              </w:rPr>
              <w:t>0.016</w:t>
            </w:r>
          </w:p>
        </w:tc>
        <w:tc>
          <w:tcPr>
            <w:tcW w:w="1843" w:type="dxa"/>
            <w:vMerge/>
          </w:tcPr>
          <w:p w:rsidR="00C02915" w:rsidRDefault="00C02915" w:rsidP="001E6580">
            <w:pPr>
              <w:pStyle w:val="Sansinterligne"/>
              <w:cnfStyle w:val="000000000000" w:firstRow="0" w:lastRow="0" w:firstColumn="0" w:lastColumn="0" w:oddVBand="0" w:evenVBand="0" w:oddHBand="0" w:evenHBand="0" w:firstRowFirstColumn="0" w:firstRowLastColumn="0" w:lastRowFirstColumn="0" w:lastRowLastColumn="0"/>
            </w:pPr>
          </w:p>
        </w:tc>
      </w:tr>
    </w:tbl>
    <w:p w:rsidR="001E6580" w:rsidRDefault="001E6580" w:rsidP="00505D04">
      <w:pPr>
        <w:jc w:val="both"/>
      </w:pPr>
    </w:p>
    <w:p w:rsidR="00C02915" w:rsidRDefault="00C02915" w:rsidP="00505D04">
      <w:pPr>
        <w:jc w:val="both"/>
        <w:rPr>
          <w:rFonts w:eastAsiaTheme="minorEastAsia"/>
        </w:rPr>
      </w:pPr>
      <w:r>
        <w:t xml:space="preserve">Le </w:t>
      </w:r>
      <w:r w:rsidR="0033001F">
        <w:fldChar w:fldCharType="begin"/>
      </w:r>
      <w:r w:rsidR="0033001F">
        <w:instrText xml:space="preserve"> REF _Ref456214924 \h </w:instrText>
      </w:r>
      <w:r w:rsidR="0033001F">
        <w:fldChar w:fldCharType="separate"/>
      </w:r>
      <w:r w:rsidR="00D114A9">
        <w:t xml:space="preserve">Tableau </w:t>
      </w:r>
      <w:r w:rsidR="00D114A9">
        <w:rPr>
          <w:noProof/>
        </w:rPr>
        <w:t>1</w:t>
      </w:r>
      <w:r w:rsidR="0033001F">
        <w:fldChar w:fldCharType="end"/>
      </w:r>
      <w:r w:rsidR="0033001F">
        <w:t xml:space="preserve"> des </w:t>
      </w:r>
      <w:r>
        <w:t xml:space="preserve">résultats du modèle indique clairement que </w:t>
      </w:r>
      <w:r w:rsidRPr="00795674">
        <w:rPr>
          <w:b/>
        </w:rPr>
        <w:t xml:space="preserve">la superficie a un impact </w:t>
      </w:r>
      <w:r w:rsidR="00907269" w:rsidRPr="00795674">
        <w:rPr>
          <w:b/>
        </w:rPr>
        <w:t>significatif</w:t>
      </w:r>
      <w:r w:rsidR="00907269">
        <w:t xml:space="preserve"> (</w:t>
      </w:r>
      <m:oMath>
        <m:r>
          <w:rPr>
            <w:rFonts w:ascii="Cambria Math" w:hAnsi="Cambria Math"/>
          </w:rPr>
          <m:t>p-value&lt;5%</m:t>
        </m:r>
      </m:oMath>
      <w:r w:rsidR="00907269">
        <w:rPr>
          <w:rFonts w:eastAsiaTheme="minorEastAsia"/>
        </w:rPr>
        <w:t xml:space="preserve">) sur le score. La superficie d’un pays joue de façon inversement proportionnelle au score de compétitivité. Ainsi, </w:t>
      </w:r>
      <w:r w:rsidR="0045511D">
        <w:rPr>
          <w:rFonts w:eastAsiaTheme="minorEastAsia"/>
          <w:b/>
        </w:rPr>
        <w:t>un pays 1</w:t>
      </w:r>
      <w:r w:rsidR="00907269" w:rsidRPr="00907269">
        <w:rPr>
          <w:rFonts w:eastAsiaTheme="minorEastAsia"/>
          <w:b/>
        </w:rPr>
        <w:t xml:space="preserve">0 fois plus petit qu’un autre obtient un score meilleur de </w:t>
      </w:r>
      <w:r w:rsidR="0045511D">
        <w:rPr>
          <w:rFonts w:eastAsiaTheme="minorEastAsia"/>
          <w:b/>
        </w:rPr>
        <w:t>3.5</w:t>
      </w:r>
      <w:r w:rsidR="00907269" w:rsidRPr="00907269">
        <w:rPr>
          <w:rFonts w:eastAsiaTheme="minorEastAsia"/>
          <w:b/>
        </w:rPr>
        <w:t xml:space="preserve"> points, en moyenne</w:t>
      </w:r>
      <w:r w:rsidR="00907269">
        <w:rPr>
          <w:rFonts w:eastAsiaTheme="minorEastAsia"/>
        </w:rPr>
        <w:t xml:space="preserve">. </w:t>
      </w:r>
      <w:r w:rsidR="003B7ABC">
        <w:rPr>
          <w:rFonts w:eastAsiaTheme="minorEastAsia"/>
        </w:rPr>
        <w:t>Le modèle donne des résultats similaires pour l’année 2015.</w:t>
      </w:r>
      <w:r w:rsidR="00795674">
        <w:rPr>
          <w:rFonts w:eastAsiaTheme="minorEastAsia"/>
        </w:rPr>
        <w:t xml:space="preserve"> Le </w:t>
      </w:r>
      <m:oMath>
        <m:r>
          <w:rPr>
            <w:rFonts w:ascii="Cambria Math" w:eastAsiaTheme="minorEastAsia" w:hAnsi="Cambria Math"/>
          </w:rPr>
          <m:t>R²</m:t>
        </m:r>
      </m:oMath>
      <w:r w:rsidR="00795674">
        <w:rPr>
          <w:rFonts w:eastAsiaTheme="minorEastAsia"/>
        </w:rPr>
        <w:t xml:space="preserve"> du modèle, à 8%, n’est pas très élevé et confirme que de nombreux autres paramètres </w:t>
      </w:r>
      <w:r w:rsidR="0033001F">
        <w:rPr>
          <w:rFonts w:eastAsiaTheme="minorEastAsia"/>
        </w:rPr>
        <w:t xml:space="preserve">peuvent </w:t>
      </w:r>
      <w:r w:rsidR="00795674">
        <w:rPr>
          <w:rFonts w:eastAsiaTheme="minorEastAsia"/>
        </w:rPr>
        <w:t>explique</w:t>
      </w:r>
      <w:r w:rsidR="0033001F">
        <w:rPr>
          <w:rFonts w:eastAsiaTheme="minorEastAsia"/>
        </w:rPr>
        <w:t>r</w:t>
      </w:r>
      <w:r w:rsidR="00795674">
        <w:rPr>
          <w:rFonts w:eastAsiaTheme="minorEastAsia"/>
        </w:rPr>
        <w:t xml:space="preserve"> ce score.</w:t>
      </w:r>
    </w:p>
    <w:p w:rsidR="00907269" w:rsidRDefault="00907269" w:rsidP="00907269">
      <w:pPr>
        <w:pStyle w:val="Sous-titre"/>
      </w:pPr>
      <w:r>
        <w:t>Test d’un lien entre population d’un pays et score</w:t>
      </w:r>
    </w:p>
    <w:p w:rsidR="00907269" w:rsidRDefault="00907269" w:rsidP="00907269">
      <w:pPr>
        <w:jc w:val="both"/>
      </w:pPr>
      <w:r>
        <w:t xml:space="preserve">Le même type de modèle est testé sur le logarithme de la population. </w:t>
      </w:r>
      <w:r w:rsidR="003B7ABC">
        <w:t xml:space="preserve">Le modèle est non-significatif, c’est-à-dire qu’on ne montre </w:t>
      </w:r>
      <w:r w:rsidR="003B7ABC" w:rsidRPr="00DB35B3">
        <w:rPr>
          <w:b/>
        </w:rPr>
        <w:t>pas d’</w:t>
      </w:r>
      <w:r w:rsidR="00DB35B3" w:rsidRPr="00DB35B3">
        <w:rPr>
          <w:b/>
        </w:rPr>
        <w:t>effet notable du nombre d’habitants d’un pays</w:t>
      </w:r>
      <w:r w:rsidR="003B7ABC" w:rsidRPr="00DB35B3">
        <w:rPr>
          <w:b/>
        </w:rPr>
        <w:t xml:space="preserve"> sur le score IMD</w:t>
      </w:r>
      <w:r w:rsidR="003B7ABC">
        <w:t xml:space="preserve"> 2016</w:t>
      </w:r>
      <w:r w:rsidR="00DB35B3">
        <w:t>.</w:t>
      </w:r>
      <w:r w:rsidR="005652B6">
        <w:t xml:space="preserve"> Les résultats sont présentés dans le </w:t>
      </w:r>
      <w:r w:rsidR="005652B6">
        <w:fldChar w:fldCharType="begin"/>
      </w:r>
      <w:r w:rsidR="005652B6">
        <w:instrText xml:space="preserve"> REF _Ref456214998 \h </w:instrText>
      </w:r>
      <w:r w:rsidR="005652B6">
        <w:fldChar w:fldCharType="separate"/>
      </w:r>
      <w:r w:rsidR="00D114A9">
        <w:t xml:space="preserve">Tableau </w:t>
      </w:r>
      <w:r w:rsidR="00D114A9">
        <w:rPr>
          <w:noProof/>
        </w:rPr>
        <w:t>2</w:t>
      </w:r>
      <w:r w:rsidR="005652B6">
        <w:fldChar w:fldCharType="end"/>
      </w:r>
      <w:r w:rsidR="005652B6">
        <w:t xml:space="preserve"> suivant :</w:t>
      </w:r>
    </w:p>
    <w:p w:rsidR="00907269" w:rsidRDefault="00907269" w:rsidP="00907269">
      <w:pPr>
        <w:pStyle w:val="Lgende"/>
        <w:keepNext/>
        <w:jc w:val="center"/>
      </w:pPr>
      <w:bookmarkStart w:id="2" w:name="_Ref456214998"/>
      <w:r>
        <w:t xml:space="preserve">Tableau </w:t>
      </w:r>
      <w:fldSimple w:instr=" SEQ Tableau \* ARABIC ">
        <w:r w:rsidR="00D114A9">
          <w:rPr>
            <w:noProof/>
          </w:rPr>
          <w:t>2</w:t>
        </w:r>
      </w:fldSimple>
      <w:bookmarkEnd w:id="2"/>
      <w:r>
        <w:t>: Résultats du modèle</w:t>
      </w:r>
      <w:r w:rsidR="00795674">
        <w:t xml:space="preserve"> linéaire</w:t>
      </w:r>
      <w:r>
        <w:t xml:space="preserve"> score2016~log.population</w:t>
      </w:r>
    </w:p>
    <w:tbl>
      <w:tblPr>
        <w:tblStyle w:val="Tableauliste3"/>
        <w:tblW w:w="0" w:type="auto"/>
        <w:tblLook w:val="04A0" w:firstRow="1" w:lastRow="0" w:firstColumn="1" w:lastColumn="0" w:noHBand="0" w:noVBand="1"/>
      </w:tblPr>
      <w:tblGrid>
        <w:gridCol w:w="1842"/>
        <w:gridCol w:w="1842"/>
        <w:gridCol w:w="1842"/>
        <w:gridCol w:w="1843"/>
        <w:gridCol w:w="1843"/>
      </w:tblGrid>
      <w:tr w:rsidR="00907269" w:rsidTr="00C80E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Pr>
          <w:p w:rsidR="00907269" w:rsidRDefault="00907269" w:rsidP="00C80EFC"/>
        </w:tc>
        <w:tc>
          <w:tcPr>
            <w:tcW w:w="1842" w:type="dxa"/>
          </w:tcPr>
          <w:p w:rsidR="00907269" w:rsidRDefault="00907269" w:rsidP="00C80EFC">
            <w:pPr>
              <w:cnfStyle w:val="100000000000" w:firstRow="1" w:lastRow="0" w:firstColumn="0" w:lastColumn="0" w:oddVBand="0" w:evenVBand="0" w:oddHBand="0" w:evenHBand="0" w:firstRowFirstColumn="0" w:firstRowLastColumn="0" w:lastRowFirstColumn="0" w:lastRowLastColumn="0"/>
            </w:pPr>
            <w:r>
              <w:t>Estimation</w:t>
            </w:r>
          </w:p>
        </w:tc>
        <w:tc>
          <w:tcPr>
            <w:tcW w:w="1842" w:type="dxa"/>
          </w:tcPr>
          <w:p w:rsidR="00907269" w:rsidRDefault="00907269" w:rsidP="00C80EFC">
            <w:pPr>
              <w:cnfStyle w:val="100000000000" w:firstRow="1" w:lastRow="0" w:firstColumn="0" w:lastColumn="0" w:oddVBand="0" w:evenVBand="0" w:oddHBand="0" w:evenHBand="0" w:firstRowFirstColumn="0" w:firstRowLastColumn="0" w:lastRowFirstColumn="0" w:lastRowLastColumn="0"/>
            </w:pPr>
            <w:r>
              <w:t>F-stat</w:t>
            </w:r>
          </w:p>
        </w:tc>
        <w:tc>
          <w:tcPr>
            <w:tcW w:w="1843" w:type="dxa"/>
          </w:tcPr>
          <w:p w:rsidR="00907269" w:rsidRDefault="00907269" w:rsidP="00C80EFC">
            <w:pPr>
              <w:cnfStyle w:val="100000000000" w:firstRow="1" w:lastRow="0" w:firstColumn="0" w:lastColumn="0" w:oddVBand="0" w:evenVBand="0" w:oddHBand="0" w:evenHBand="0" w:firstRowFirstColumn="0" w:firstRowLastColumn="0" w:lastRowFirstColumn="0" w:lastRowLastColumn="0"/>
            </w:pPr>
            <w:r>
              <w:t>p-value</w:t>
            </w:r>
          </w:p>
        </w:tc>
        <w:tc>
          <w:tcPr>
            <w:tcW w:w="1843" w:type="dxa"/>
          </w:tcPr>
          <w:p w:rsidR="00907269" w:rsidRDefault="00907269" w:rsidP="00C80EFC">
            <w:pPr>
              <w:cnfStyle w:val="100000000000" w:firstRow="1" w:lastRow="0" w:firstColumn="0" w:lastColumn="0" w:oddVBand="0" w:evenVBand="0" w:oddHBand="0" w:evenHBand="0" w:firstRowFirstColumn="0" w:firstRowLastColumn="0" w:lastRowFirstColumn="0" w:lastRowLastColumn="0"/>
            </w:pPr>
            <w:r>
              <w:t>Validité modèle</w:t>
            </w:r>
          </w:p>
        </w:tc>
      </w:tr>
      <w:tr w:rsidR="00907269" w:rsidTr="00C80EFC">
        <w:tc>
          <w:tcPr>
            <w:cnfStyle w:val="001000000000" w:firstRow="0" w:lastRow="0" w:firstColumn="1" w:lastColumn="0" w:oddVBand="0" w:evenVBand="0" w:oddHBand="0" w:evenHBand="0" w:firstRowFirstColumn="0" w:firstRowLastColumn="0" w:lastRowFirstColumn="0" w:lastRowLastColumn="0"/>
            <w:tcW w:w="1842" w:type="dxa"/>
          </w:tcPr>
          <w:p w:rsidR="00907269" w:rsidRDefault="00907269" w:rsidP="00C80EFC">
            <w:proofErr w:type="spellStart"/>
            <w:r>
              <w:t>Intercept</w:t>
            </w:r>
            <w:proofErr w:type="spellEnd"/>
          </w:p>
        </w:tc>
        <w:tc>
          <w:tcPr>
            <w:tcW w:w="1842" w:type="dxa"/>
          </w:tcPr>
          <w:p w:rsidR="00907269" w:rsidRDefault="003B7ABC" w:rsidP="00C80EFC">
            <w:pPr>
              <w:cnfStyle w:val="000000000000" w:firstRow="0" w:lastRow="0" w:firstColumn="0" w:lastColumn="0" w:oddVBand="0" w:evenVBand="0" w:oddHBand="0" w:evenHBand="0" w:firstRowFirstColumn="0" w:firstRowLastColumn="0" w:lastRowFirstColumn="0" w:lastRowLastColumn="0"/>
            </w:pPr>
            <w:r>
              <w:t>104.8</w:t>
            </w:r>
          </w:p>
        </w:tc>
        <w:tc>
          <w:tcPr>
            <w:tcW w:w="1842" w:type="dxa"/>
          </w:tcPr>
          <w:p w:rsidR="00907269" w:rsidRDefault="00907269" w:rsidP="00C80EFC">
            <w:pPr>
              <w:cnfStyle w:val="000000000000" w:firstRow="0" w:lastRow="0" w:firstColumn="0" w:lastColumn="0" w:oddVBand="0" w:evenVBand="0" w:oddHBand="0" w:evenHBand="0" w:firstRowFirstColumn="0" w:firstRowLastColumn="0" w:lastRowFirstColumn="0" w:lastRowLastColumn="0"/>
            </w:pPr>
          </w:p>
        </w:tc>
        <w:tc>
          <w:tcPr>
            <w:tcW w:w="1843" w:type="dxa"/>
          </w:tcPr>
          <w:p w:rsidR="00907269" w:rsidRDefault="00907269" w:rsidP="00C80EFC">
            <w:pPr>
              <w:cnfStyle w:val="000000000000" w:firstRow="0" w:lastRow="0" w:firstColumn="0" w:lastColumn="0" w:oddVBand="0" w:evenVBand="0" w:oddHBand="0" w:evenHBand="0" w:firstRowFirstColumn="0" w:firstRowLastColumn="0" w:lastRowFirstColumn="0" w:lastRowLastColumn="0"/>
            </w:pPr>
          </w:p>
        </w:tc>
        <w:tc>
          <w:tcPr>
            <w:tcW w:w="1843" w:type="dxa"/>
            <w:vMerge w:val="restart"/>
            <w:vAlign w:val="center"/>
          </w:tcPr>
          <w:p w:rsidR="00907269" w:rsidRDefault="00907269" w:rsidP="00C80EFC">
            <w:pPr>
              <w:jc w:val="center"/>
              <w:cnfStyle w:val="000000000000" w:firstRow="0" w:lastRow="0" w:firstColumn="0" w:lastColumn="0" w:oddVBand="0" w:evenVBand="0" w:oddHBand="0" w:evenHBand="0" w:firstRowFirstColumn="0" w:firstRowLastColumn="0" w:lastRowFirstColumn="0" w:lastRowLastColumn="0"/>
            </w:pPr>
            <w:r>
              <w:t>OUI</w:t>
            </w:r>
          </w:p>
        </w:tc>
      </w:tr>
      <w:tr w:rsidR="00907269" w:rsidTr="00C80EFC">
        <w:tc>
          <w:tcPr>
            <w:cnfStyle w:val="001000000000" w:firstRow="0" w:lastRow="0" w:firstColumn="1" w:lastColumn="0" w:oddVBand="0" w:evenVBand="0" w:oddHBand="0" w:evenHBand="0" w:firstRowFirstColumn="0" w:firstRowLastColumn="0" w:lastRowFirstColumn="0" w:lastRowLastColumn="0"/>
            <w:tcW w:w="1842" w:type="dxa"/>
          </w:tcPr>
          <w:p w:rsidR="00907269" w:rsidRDefault="00907269" w:rsidP="004512E5">
            <w:proofErr w:type="gramStart"/>
            <w:r>
              <w:t>Log</w:t>
            </w:r>
            <w:r w:rsidR="006579C2">
              <w:t>10</w:t>
            </w:r>
            <w:r>
              <w:t>(</w:t>
            </w:r>
            <w:proofErr w:type="gramEnd"/>
            <w:r w:rsidR="004512E5">
              <w:t>population</w:t>
            </w:r>
            <w:r>
              <w:t>)</w:t>
            </w:r>
          </w:p>
        </w:tc>
        <w:tc>
          <w:tcPr>
            <w:tcW w:w="1842" w:type="dxa"/>
          </w:tcPr>
          <w:p w:rsidR="00907269" w:rsidRDefault="0045511D" w:rsidP="00C80EFC">
            <w:pPr>
              <w:cnfStyle w:val="000000000000" w:firstRow="0" w:lastRow="0" w:firstColumn="0" w:lastColumn="0" w:oddVBand="0" w:evenVBand="0" w:oddHBand="0" w:evenHBand="0" w:firstRowFirstColumn="0" w:firstRowLastColumn="0" w:lastRowFirstColumn="0" w:lastRowLastColumn="0"/>
            </w:pPr>
            <w:r>
              <w:t>-4.30</w:t>
            </w:r>
          </w:p>
        </w:tc>
        <w:tc>
          <w:tcPr>
            <w:tcW w:w="1842" w:type="dxa"/>
          </w:tcPr>
          <w:p w:rsidR="00907269" w:rsidRDefault="003B7ABC" w:rsidP="00C80EFC">
            <w:pPr>
              <w:cnfStyle w:val="000000000000" w:firstRow="0" w:lastRow="0" w:firstColumn="0" w:lastColumn="0" w:oddVBand="0" w:evenVBand="0" w:oddHBand="0" w:evenHBand="0" w:firstRowFirstColumn="0" w:firstRowLastColumn="0" w:lastRowFirstColumn="0" w:lastRowLastColumn="0"/>
            </w:pPr>
            <w:r>
              <w:t>2.46</w:t>
            </w:r>
          </w:p>
        </w:tc>
        <w:tc>
          <w:tcPr>
            <w:tcW w:w="1843" w:type="dxa"/>
          </w:tcPr>
          <w:p w:rsidR="00907269" w:rsidRPr="001E6580" w:rsidRDefault="003B7ABC" w:rsidP="00C80EFC">
            <w:pPr>
              <w:cnfStyle w:val="000000000000" w:firstRow="0" w:lastRow="0" w:firstColumn="0" w:lastColumn="0" w:oddVBand="0" w:evenVBand="0" w:oddHBand="0" w:evenHBand="0" w:firstRowFirstColumn="0" w:firstRowLastColumn="0" w:lastRowFirstColumn="0" w:lastRowLastColumn="0"/>
              <w:rPr>
                <w:b/>
              </w:rPr>
            </w:pPr>
            <w:r w:rsidRPr="001E6580">
              <w:rPr>
                <w:b/>
                <w:color w:val="C0504D" w:themeColor="accent2"/>
              </w:rPr>
              <w:t>0.122</w:t>
            </w:r>
          </w:p>
        </w:tc>
        <w:tc>
          <w:tcPr>
            <w:tcW w:w="1843" w:type="dxa"/>
            <w:vMerge/>
          </w:tcPr>
          <w:p w:rsidR="00907269" w:rsidRDefault="00907269" w:rsidP="00C80EFC">
            <w:pPr>
              <w:cnfStyle w:val="000000000000" w:firstRow="0" w:lastRow="0" w:firstColumn="0" w:lastColumn="0" w:oddVBand="0" w:evenVBand="0" w:oddHBand="0" w:evenHBand="0" w:firstRowFirstColumn="0" w:firstRowLastColumn="0" w:lastRowFirstColumn="0" w:lastRowLastColumn="0"/>
            </w:pPr>
          </w:p>
        </w:tc>
      </w:tr>
    </w:tbl>
    <w:p w:rsidR="00907269" w:rsidRDefault="00907269" w:rsidP="00907269">
      <w:pPr>
        <w:jc w:val="both"/>
      </w:pPr>
    </w:p>
    <w:p w:rsidR="003B7AA6" w:rsidRDefault="003B7AA6" w:rsidP="003B7AA6">
      <w:pPr>
        <w:pStyle w:val="Sous-titre"/>
      </w:pPr>
      <w:r>
        <w:t>Test d’un lien entre appartenance à l’</w:t>
      </w:r>
      <w:r w:rsidR="003A39FC">
        <w:t>UE/</w:t>
      </w:r>
      <w:r>
        <w:t>zone Euro</w:t>
      </w:r>
      <w:r w:rsidR="003A39FC">
        <w:t xml:space="preserve"> et le score</w:t>
      </w:r>
    </w:p>
    <w:p w:rsidR="00DB35B3" w:rsidRDefault="00795674" w:rsidP="00907269">
      <w:pPr>
        <w:jc w:val="both"/>
      </w:pPr>
      <w:r>
        <w:t xml:space="preserve">Au sein du continent européen on souhaite comparer les pays membres de l’UE et de la zone Euro (17 pays étudiés) avec ceux membres d’aucun des deux entités (4 pays étudiés). Le test de </w:t>
      </w:r>
      <w:proofErr w:type="spellStart"/>
      <w:r>
        <w:t>Wilcoxon</w:t>
      </w:r>
      <w:proofErr w:type="spellEnd"/>
      <w:r>
        <w:t xml:space="preserve">-Mann-Whitney permet de statuer sur une </w:t>
      </w:r>
      <w:r w:rsidRPr="00EC18CD">
        <w:rPr>
          <w:b/>
        </w:rPr>
        <w:t xml:space="preserve">absence de différence </w:t>
      </w:r>
      <w:r w:rsidR="00EC18CD" w:rsidRPr="00EC18CD">
        <w:rPr>
          <w:b/>
        </w:rPr>
        <w:t xml:space="preserve">de compétitivité selon l’appartenance ou non à la zone </w:t>
      </w:r>
      <w:proofErr w:type="spellStart"/>
      <w:r w:rsidR="00EC18CD" w:rsidRPr="00EC18CD">
        <w:rPr>
          <w:b/>
        </w:rPr>
        <w:t>UE+Euro</w:t>
      </w:r>
      <w:proofErr w:type="spellEnd"/>
      <w:r w:rsidR="00A958A2">
        <w:rPr>
          <w:b/>
        </w:rPr>
        <w:t xml:space="preserve"> </w:t>
      </w:r>
      <w:r w:rsidR="00A958A2" w:rsidRPr="00A958A2">
        <w:t>(</w:t>
      </w:r>
      <m:oMath>
        <m:r>
          <w:rPr>
            <w:rFonts w:ascii="Cambria Math" w:hAnsi="Cambria Math"/>
          </w:rPr>
          <m:t>p.value=0.46</m:t>
        </m:r>
      </m:oMath>
      <w:r w:rsidR="00A958A2" w:rsidRPr="00A958A2">
        <w:t>)</w:t>
      </w:r>
      <w:r w:rsidR="00EC18CD" w:rsidRPr="00A958A2">
        <w:t>.</w:t>
      </w:r>
      <w:r w:rsidR="00EC18CD">
        <w:t xml:space="preserve"> Même si la moyenne ou la médiane donnent l’avantage aux pays hors zone UE/Euro, leur faible nombre dans ce groupe (4) limite la possibilité d’atteindre la significativité. </w:t>
      </w:r>
    </w:p>
    <w:p w:rsidR="00EC18CD" w:rsidRDefault="00EC18CD" w:rsidP="00907269">
      <w:pPr>
        <w:jc w:val="both"/>
      </w:pPr>
      <w:r>
        <w:t xml:space="preserve">On n’obtient pas non plus de différence due à la zone Euro ou à l’UE par rapport au reste des pays étudiés dans le monde.  </w:t>
      </w:r>
      <w:r w:rsidR="00F67C37">
        <w:t xml:space="preserve">Notons toutefois que deux pays membres de  l’UE sont manquants dans les données (Chypre, Malte). </w:t>
      </w:r>
    </w:p>
    <w:p w:rsidR="001E6580" w:rsidRDefault="001E6580" w:rsidP="00907269">
      <w:pPr>
        <w:jc w:val="both"/>
      </w:pPr>
    </w:p>
    <w:p w:rsidR="00EC18CD" w:rsidRDefault="00EC18CD" w:rsidP="00EC18CD">
      <w:pPr>
        <w:pStyle w:val="Sous-titre"/>
      </w:pPr>
      <w:r>
        <w:lastRenderedPageBreak/>
        <w:t>Test d’un modèle complet</w:t>
      </w:r>
    </w:p>
    <w:p w:rsidR="00EC18CD" w:rsidRDefault="00EC18CD" w:rsidP="00907269">
      <w:pPr>
        <w:jc w:val="both"/>
      </w:pPr>
      <w:r>
        <w:t>Un modèle linéaire complet est alors testé avec l’ensemble des variables citées (</w:t>
      </w:r>
      <w:proofErr w:type="spellStart"/>
      <w:r>
        <w:t>log.popul</w:t>
      </w:r>
      <w:r w:rsidR="005D2925">
        <w:t>ation</w:t>
      </w:r>
      <w:proofErr w:type="spellEnd"/>
      <w:r w:rsidR="005D2925">
        <w:t xml:space="preserve">, </w:t>
      </w:r>
      <w:proofErr w:type="spellStart"/>
      <w:r w:rsidR="005D2925">
        <w:t>log.superficie</w:t>
      </w:r>
      <w:proofErr w:type="spellEnd"/>
      <w:r w:rsidR="005D2925">
        <w:t>, UE, Euro</w:t>
      </w:r>
      <w:r>
        <w:t>), ainsi que toutes les interactions possibles</w:t>
      </w:r>
      <w:r w:rsidR="000303F2">
        <w:t xml:space="preserve"> de niveau 2</w:t>
      </w:r>
      <w:r>
        <w:t>. Une sélection exhaustive de variables (méthode ‘</w:t>
      </w:r>
      <w:proofErr w:type="spellStart"/>
      <w:r w:rsidRPr="00EC18CD">
        <w:rPr>
          <w:i/>
        </w:rPr>
        <w:t>regsubsets</w:t>
      </w:r>
      <w:proofErr w:type="spellEnd"/>
      <w:r>
        <w:t xml:space="preserve">’) </w:t>
      </w:r>
      <w:r w:rsidR="00CB4A6C">
        <w:t xml:space="preserve">ne conserve comme significatif que le modèle étudié précédemment, avec uniquement la </w:t>
      </w:r>
      <w:proofErr w:type="spellStart"/>
      <w:r w:rsidR="00CB4A6C">
        <w:t>log.superficie</w:t>
      </w:r>
      <w:proofErr w:type="spellEnd"/>
      <w:r w:rsidR="00CB4A6C">
        <w:t xml:space="preserve"> comme variable explicative.</w:t>
      </w:r>
    </w:p>
    <w:p w:rsidR="007C72D2" w:rsidRDefault="007C72D2" w:rsidP="00907269">
      <w:pPr>
        <w:jc w:val="both"/>
      </w:pPr>
    </w:p>
    <w:p w:rsidR="00CB4A6C" w:rsidRDefault="00CB4A6C" w:rsidP="00CB4A6C">
      <w:pPr>
        <w:pStyle w:val="Citationintense"/>
      </w:pPr>
      <w:r>
        <w:t>Conclusion</w:t>
      </w:r>
      <w:r w:rsidR="00FE3485">
        <w:t xml:space="preserve"> et discussion</w:t>
      </w:r>
    </w:p>
    <w:p w:rsidR="00FE3485" w:rsidRDefault="00FE3485" w:rsidP="00907269">
      <w:pPr>
        <w:jc w:val="both"/>
      </w:pPr>
      <w:r>
        <w:t>Nous nous sommes limités à quatre facteurs assez généraux pour l’analyse des données (population, superficie, zone Euro, zone UE). La répétition de ce genre de tests sur un plus grand nombre de facteurs explicatifs,</w:t>
      </w:r>
      <w:r w:rsidR="00F67C37">
        <w:t xml:space="preserve"> potentiellement intéressants</w:t>
      </w:r>
      <w:r>
        <w:t xml:space="preserve">, devrait se faire en application de la correction de </w:t>
      </w:r>
      <w:proofErr w:type="spellStart"/>
      <w:r w:rsidRPr="00F67C37">
        <w:rPr>
          <w:i/>
        </w:rPr>
        <w:t>Bonferronni</w:t>
      </w:r>
      <w:proofErr w:type="spellEnd"/>
      <w:r>
        <w:t xml:space="preserve"> (abaissement de la </w:t>
      </w:r>
      <m:oMath>
        <m:r>
          <w:rPr>
            <w:rFonts w:ascii="Cambria Math" w:hAnsi="Cambria Math"/>
          </w:rPr>
          <m:t>p.value</m:t>
        </m:r>
      </m:oMath>
      <w:r>
        <w:t xml:space="preserve"> face au risque de faux positif). </w:t>
      </w:r>
    </w:p>
    <w:p w:rsidR="00CB4A6C" w:rsidRDefault="00FE3485" w:rsidP="00907269">
      <w:pPr>
        <w:jc w:val="both"/>
      </w:pPr>
      <w:r>
        <w:t>Nous concluons d’une part</w:t>
      </w:r>
      <w:r w:rsidR="00CB4A6C">
        <w:t xml:space="preserve"> </w:t>
      </w:r>
      <w:r w:rsidR="002B5D4D">
        <w:t xml:space="preserve">que nous ne pouvons pas affirmer que l’appartenance à </w:t>
      </w:r>
      <w:r w:rsidR="00CB4A6C">
        <w:t xml:space="preserve">l’UE ou l’Euro soient </w:t>
      </w:r>
      <w:r w:rsidR="002B5D4D">
        <w:t>liée</w:t>
      </w:r>
      <w:r>
        <w:t>s</w:t>
      </w:r>
      <w:r w:rsidR="002B5D4D">
        <w:t xml:space="preserve"> positivement ou négativement au score de</w:t>
      </w:r>
      <w:r w:rsidR="00CB4A6C">
        <w:t xml:space="preserve"> compétitivité des entreprises</w:t>
      </w:r>
      <w:r w:rsidR="002B5D4D">
        <w:t xml:space="preserve"> établi par l’IMD en 2016 ou 2015</w:t>
      </w:r>
      <w:r w:rsidR="00F67C37">
        <w:t>.</w:t>
      </w:r>
      <w:r w:rsidR="007C72D2">
        <w:t xml:space="preserve"> </w:t>
      </w:r>
      <w:r w:rsidR="00F67C37">
        <w:t>Nous concluons</w:t>
      </w:r>
      <w:r w:rsidR="00CB4A6C">
        <w:t xml:space="preserve"> </w:t>
      </w:r>
      <w:r>
        <w:t>d’autre part</w:t>
      </w:r>
      <w:r w:rsidR="00CB4A6C">
        <w:t xml:space="preserve"> en contradiction avec </w:t>
      </w:r>
      <w:r>
        <w:t>l’</w:t>
      </w:r>
      <w:r w:rsidR="00CB4A6C">
        <w:t>idée</w:t>
      </w:r>
      <w:r>
        <w:t xml:space="preserve"> que</w:t>
      </w:r>
      <w:r w:rsidR="00CB4A6C">
        <w:t xml:space="preserve"> pour </w:t>
      </w:r>
      <w:r w:rsidR="006279B0">
        <w:t>avoir un environnement économique compétitif</w:t>
      </w:r>
      <w:r w:rsidR="00CB4A6C">
        <w:t xml:space="preserve"> </w:t>
      </w:r>
      <w:r w:rsidR="00F67C37">
        <w:t xml:space="preserve">et dynamique </w:t>
      </w:r>
      <w:r w:rsidR="00CB4A6C">
        <w:t xml:space="preserve">il faudrait être un gros pays, en taille ou en population. </w:t>
      </w:r>
    </w:p>
    <w:p w:rsidR="00FE3485" w:rsidRDefault="00FE3485" w:rsidP="00907269">
      <w:pPr>
        <w:jc w:val="both"/>
      </w:pPr>
      <w:r>
        <w:t xml:space="preserve">Rappelons néanmoins que le jeu de données n’est pas exhaustif </w:t>
      </w:r>
      <w:r w:rsidR="007C72D2">
        <w:t>des pays du monde</w:t>
      </w:r>
      <w:r w:rsidR="00214CC3">
        <w:t xml:space="preserve"> et que la présence d’un biais </w:t>
      </w:r>
      <w:r w:rsidR="00194C20">
        <w:t xml:space="preserve">ne doit pas être exclue. La donnée manquante n’est en effet pas répartie aléatoirement : </w:t>
      </w:r>
      <w:r w:rsidR="00214CC3">
        <w:t>de nombreux pays absents sont justement de très petite taille</w:t>
      </w:r>
      <w:r w:rsidR="00194C20">
        <w:t xml:space="preserve"> et certains continents comme l’Afrique sont sous-représentés. </w:t>
      </w:r>
    </w:p>
    <w:p w:rsidR="00795674" w:rsidRDefault="00023053" w:rsidP="00907269">
      <w:pPr>
        <w:jc w:val="both"/>
      </w:pPr>
      <w:r>
        <w:t>Le tableau de données et le script R</w:t>
      </w:r>
      <w:r w:rsidR="00F67C37">
        <w:t xml:space="preserve"> associé est à disposition du lecteur en annexe. </w:t>
      </w:r>
    </w:p>
    <w:p w:rsidR="00CB4A6C" w:rsidRDefault="00CB4A6C" w:rsidP="00907269">
      <w:pPr>
        <w:jc w:val="both"/>
      </w:pPr>
    </w:p>
    <w:p w:rsidR="003B7ABC" w:rsidRDefault="003B7ABC" w:rsidP="00907269">
      <w:pPr>
        <w:jc w:val="both"/>
      </w:pPr>
    </w:p>
    <w:p w:rsidR="003B7ABC" w:rsidRDefault="003B7ABC" w:rsidP="00907269">
      <w:pPr>
        <w:jc w:val="both"/>
      </w:pPr>
    </w:p>
    <w:p w:rsidR="00907269" w:rsidRDefault="00907269" w:rsidP="00907269">
      <w:pPr>
        <w:jc w:val="both"/>
        <w:rPr>
          <w:rFonts w:eastAsiaTheme="minorEastAsia"/>
        </w:rPr>
      </w:pPr>
    </w:p>
    <w:p w:rsidR="00907269" w:rsidRDefault="00907269" w:rsidP="00505D04">
      <w:pPr>
        <w:jc w:val="both"/>
      </w:pPr>
    </w:p>
    <w:p w:rsidR="00844020" w:rsidRDefault="00844020">
      <w:r>
        <w:br w:type="page"/>
      </w:r>
    </w:p>
    <w:p w:rsidR="00D86545" w:rsidRPr="008C2FB6" w:rsidRDefault="00D86545" w:rsidP="00D86545">
      <w:pPr>
        <w:pStyle w:val="Citationintense"/>
        <w:rPr>
          <w:i w:val="0"/>
          <w:sz w:val="12"/>
        </w:rPr>
      </w:pPr>
      <w:r>
        <w:lastRenderedPageBreak/>
        <w:t>Annexes</w:t>
      </w:r>
    </w:p>
    <w:p w:rsidR="00AC2242" w:rsidRDefault="00AC2242" w:rsidP="00D86545">
      <w:pPr>
        <w:pStyle w:val="Sous-titre"/>
      </w:pPr>
      <w:r>
        <w:t>Bibliographie</w:t>
      </w:r>
    </w:p>
    <w:p w:rsidR="00AC2242" w:rsidRDefault="008C2FB6" w:rsidP="00D86545">
      <w:pPr>
        <w:pStyle w:val="Sous-titre"/>
        <w:rPr>
          <w:rFonts w:asciiTheme="minorHAnsi" w:eastAsiaTheme="minorHAnsi" w:hAnsiTheme="minorHAnsi" w:cstheme="minorBidi"/>
          <w:i w:val="0"/>
          <w:iCs w:val="0"/>
          <w:color w:val="auto"/>
          <w:spacing w:val="0"/>
          <w:sz w:val="22"/>
          <w:szCs w:val="22"/>
        </w:rPr>
      </w:pPr>
      <w:r>
        <w:rPr>
          <w:rFonts w:asciiTheme="minorHAnsi" w:eastAsiaTheme="minorHAnsi" w:hAnsiTheme="minorHAnsi" w:cstheme="minorBidi"/>
          <w:i w:val="0"/>
          <w:iCs w:val="0"/>
          <w:color w:val="auto"/>
          <w:spacing w:val="0"/>
          <w:sz w:val="22"/>
          <w:szCs w:val="22"/>
        </w:rPr>
        <w:t>Les références bibliographiques sont accessibles sur le web, les liens étant fournis au fil du texte.</w:t>
      </w:r>
    </w:p>
    <w:p w:rsidR="00C62F59" w:rsidRPr="008C2FB6" w:rsidRDefault="00C62F59" w:rsidP="00C62F59">
      <w:pPr>
        <w:rPr>
          <w:rStyle w:val="Lienhypertexte"/>
        </w:rPr>
      </w:pPr>
      <w:hyperlink r:id="rId15" w:history="1">
        <w:r w:rsidRPr="008C2FB6">
          <w:rPr>
            <w:rStyle w:val="Lienhypertexte"/>
          </w:rPr>
          <w:t>http://www.imd.org/wcc/research-methodology/</w:t>
        </w:r>
      </w:hyperlink>
    </w:p>
    <w:p w:rsidR="00C62F59" w:rsidRPr="008C2FB6" w:rsidRDefault="00C62F59" w:rsidP="00D86545">
      <w:pPr>
        <w:pStyle w:val="Sous-titre"/>
        <w:rPr>
          <w:rFonts w:asciiTheme="minorHAnsi" w:eastAsiaTheme="minorHAnsi" w:hAnsiTheme="minorHAnsi" w:cstheme="minorBidi"/>
          <w:i w:val="0"/>
          <w:iCs w:val="0"/>
          <w:color w:val="auto"/>
          <w:spacing w:val="0"/>
          <w:sz w:val="22"/>
          <w:szCs w:val="22"/>
        </w:rPr>
      </w:pPr>
      <w:hyperlink r:id="rId16" w:history="1">
        <w:r w:rsidRPr="008C2FB6">
          <w:rPr>
            <w:rStyle w:val="Lienhypertexte"/>
            <w:rFonts w:asciiTheme="minorHAnsi" w:eastAsiaTheme="minorHAnsi" w:hAnsiTheme="minorHAnsi" w:cstheme="minorBidi"/>
            <w:i w:val="0"/>
            <w:iCs w:val="0"/>
            <w:spacing w:val="0"/>
            <w:sz w:val="22"/>
            <w:szCs w:val="22"/>
          </w:rPr>
          <w:t>http://www.imd.org/uupload/imd.website/wcc/scoreboard.pdf</w:t>
        </w:r>
      </w:hyperlink>
    </w:p>
    <w:p w:rsidR="00C62F59" w:rsidRPr="008C2FB6" w:rsidRDefault="00C62F59" w:rsidP="00D86545">
      <w:pPr>
        <w:pStyle w:val="Sous-titre"/>
        <w:rPr>
          <w:rFonts w:asciiTheme="minorHAnsi" w:hAnsiTheme="minorHAnsi"/>
          <w:i w:val="0"/>
          <w:sz w:val="22"/>
          <w:szCs w:val="22"/>
        </w:rPr>
      </w:pPr>
      <w:hyperlink r:id="rId17" w:history="1">
        <w:r w:rsidRPr="008C2FB6">
          <w:rPr>
            <w:rStyle w:val="Lienhypertexte"/>
            <w:rFonts w:asciiTheme="minorHAnsi" w:hAnsiTheme="minorHAnsi"/>
            <w:i w:val="0"/>
            <w:sz w:val="22"/>
            <w:szCs w:val="22"/>
          </w:rPr>
          <w:t>http://www.statistiques-mondiales.com/onu.htm</w:t>
        </w:r>
      </w:hyperlink>
    </w:p>
    <w:p w:rsidR="00C62F59" w:rsidRPr="008C2FB6" w:rsidRDefault="008C2FB6" w:rsidP="00C62F59">
      <w:hyperlink r:id="rId18" w:history="1">
        <w:r w:rsidRPr="008C2FB6">
          <w:rPr>
            <w:rStyle w:val="Lienhypertexte"/>
          </w:rPr>
          <w:t>https://simple.wikipedia.org/wiki/List_of_countries_by_population_density</w:t>
        </w:r>
      </w:hyperlink>
    </w:p>
    <w:p w:rsidR="008C2FB6" w:rsidRPr="008C2FB6" w:rsidRDefault="008C2FB6" w:rsidP="00D86545">
      <w:pPr>
        <w:pStyle w:val="Sous-titre"/>
        <w:rPr>
          <w:sz w:val="6"/>
        </w:rPr>
      </w:pPr>
    </w:p>
    <w:p w:rsidR="00D86545" w:rsidRDefault="00D86545" w:rsidP="00D86545">
      <w:pPr>
        <w:pStyle w:val="Sous-titre"/>
      </w:pPr>
      <w:r>
        <w:t>Tableau de données</w:t>
      </w:r>
    </w:p>
    <w:p w:rsidR="00D86545" w:rsidRDefault="00D86545" w:rsidP="00D86545">
      <w:pPr>
        <w:jc w:val="both"/>
      </w:pPr>
      <w:r>
        <w:t xml:space="preserve">Le </w:t>
      </w:r>
      <w:r w:rsidR="00B00F45">
        <w:t>tableau de données</w:t>
      </w:r>
      <w:r w:rsidR="004477E7">
        <w:t xml:space="preserve"> avec les variables principales, les </w:t>
      </w:r>
      <w:r w:rsidR="001466F7">
        <w:t>trois v</w:t>
      </w:r>
      <w:r w:rsidR="004477E7">
        <w:t xml:space="preserve">ariables </w:t>
      </w:r>
      <w:r w:rsidR="001466F7">
        <w:t>UE, Euro et Continent</w:t>
      </w:r>
      <w:r w:rsidR="004477E7">
        <w:t xml:space="preserve"> désignent par 1 l’appartenance et 0 la non-appartenance à l’UE, à la zone Euro ou au continent Européen.</w:t>
      </w:r>
    </w:p>
    <w:tbl>
      <w:tblPr>
        <w:tblStyle w:val="Tableauliste3"/>
        <w:tblW w:w="5324" w:type="pct"/>
        <w:tblLayout w:type="fixed"/>
        <w:tblLook w:val="04A0" w:firstRow="1" w:lastRow="0" w:firstColumn="1" w:lastColumn="0" w:noHBand="0" w:noVBand="1"/>
      </w:tblPr>
      <w:tblGrid>
        <w:gridCol w:w="1815"/>
        <w:gridCol w:w="1132"/>
        <w:gridCol w:w="1137"/>
        <w:gridCol w:w="1135"/>
        <w:gridCol w:w="568"/>
        <w:gridCol w:w="708"/>
        <w:gridCol w:w="1135"/>
        <w:gridCol w:w="1133"/>
        <w:gridCol w:w="1127"/>
      </w:tblGrid>
      <w:tr w:rsidR="00B00F45" w:rsidRPr="00EC5613" w:rsidTr="00B00F4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17" w:type="pct"/>
            <w:noWrap/>
            <w:hideMark/>
          </w:tcPr>
          <w:p w:rsidR="00EC5613" w:rsidRPr="00EC5613" w:rsidRDefault="00B00F45" w:rsidP="00EC5613">
            <w:pPr>
              <w:rPr>
                <w:color w:val="000000"/>
              </w:rPr>
            </w:pPr>
            <w:r>
              <w:rPr>
                <w:color w:val="000000"/>
              </w:rPr>
              <w:t>P</w:t>
            </w:r>
            <w:r w:rsidR="00EC5613" w:rsidRPr="00EC5613">
              <w:rPr>
                <w:color w:val="000000"/>
              </w:rPr>
              <w:t>ays</w:t>
            </w:r>
          </w:p>
        </w:tc>
        <w:tc>
          <w:tcPr>
            <w:tcW w:w="572" w:type="pct"/>
            <w:noWrap/>
            <w:hideMark/>
          </w:tcPr>
          <w:p w:rsidR="00EC5613" w:rsidRPr="00EC5613" w:rsidRDefault="00EC5613" w:rsidP="00B00F45">
            <w:pPr>
              <w:jc w:val="right"/>
              <w:cnfStyle w:val="100000000000" w:firstRow="1" w:lastRow="0" w:firstColumn="0" w:lastColumn="0" w:oddVBand="0" w:evenVBand="0" w:oddHBand="0" w:evenHBand="0" w:firstRowFirstColumn="0" w:firstRowLastColumn="0" w:lastRowFirstColumn="0" w:lastRowLastColumn="0"/>
              <w:rPr>
                <w:color w:val="000000"/>
              </w:rPr>
            </w:pPr>
            <w:r w:rsidRPr="00EC5613">
              <w:rPr>
                <w:color w:val="000000"/>
              </w:rPr>
              <w:t>rang2016</w:t>
            </w:r>
          </w:p>
        </w:tc>
        <w:tc>
          <w:tcPr>
            <w:tcW w:w="575" w:type="pct"/>
            <w:noWrap/>
            <w:hideMark/>
          </w:tcPr>
          <w:p w:rsidR="00EC5613" w:rsidRPr="00EC5613" w:rsidRDefault="00EC5613" w:rsidP="00B00F45">
            <w:pPr>
              <w:jc w:val="right"/>
              <w:cnfStyle w:val="100000000000" w:firstRow="1" w:lastRow="0" w:firstColumn="0" w:lastColumn="0" w:oddVBand="0" w:evenVBand="0" w:oddHBand="0" w:evenHBand="0" w:firstRowFirstColumn="0" w:firstRowLastColumn="0" w:lastRowFirstColumn="0" w:lastRowLastColumn="0"/>
              <w:rPr>
                <w:color w:val="000000"/>
              </w:rPr>
            </w:pPr>
            <w:r w:rsidRPr="00EC5613">
              <w:rPr>
                <w:color w:val="000000"/>
              </w:rPr>
              <w:t>rang2015</w:t>
            </w:r>
          </w:p>
        </w:tc>
        <w:tc>
          <w:tcPr>
            <w:tcW w:w="574" w:type="pct"/>
            <w:noWrap/>
            <w:hideMark/>
          </w:tcPr>
          <w:p w:rsidR="00EC5613" w:rsidRPr="00EC5613" w:rsidRDefault="007B307E" w:rsidP="00B00F45">
            <w:pPr>
              <w:jc w:val="right"/>
              <w:cnfStyle w:val="100000000000" w:firstRow="1" w:lastRow="0" w:firstColumn="0" w:lastColumn="0" w:oddVBand="0" w:evenVBand="0" w:oddHBand="0" w:evenHBand="0" w:firstRowFirstColumn="0" w:firstRowLastColumn="0" w:lastRowFirstColumn="0" w:lastRowLastColumn="0"/>
              <w:rPr>
                <w:color w:val="000000"/>
              </w:rPr>
            </w:pPr>
            <w:r w:rsidRPr="007B307E">
              <w:rPr>
                <w:color w:val="000000"/>
              </w:rPr>
              <w:t>Score2016</w:t>
            </w:r>
          </w:p>
        </w:tc>
        <w:tc>
          <w:tcPr>
            <w:tcW w:w="287" w:type="pct"/>
            <w:noWrap/>
            <w:hideMark/>
          </w:tcPr>
          <w:p w:rsidR="00EC5613" w:rsidRPr="00EC5613" w:rsidRDefault="00EC5613" w:rsidP="00B00F45">
            <w:pPr>
              <w:jc w:val="right"/>
              <w:cnfStyle w:val="100000000000" w:firstRow="1" w:lastRow="0" w:firstColumn="0" w:lastColumn="0" w:oddVBand="0" w:evenVBand="0" w:oddHBand="0" w:evenHBand="0" w:firstRowFirstColumn="0" w:firstRowLastColumn="0" w:lastRowFirstColumn="0" w:lastRowLastColumn="0"/>
              <w:rPr>
                <w:color w:val="000000"/>
              </w:rPr>
            </w:pPr>
            <w:r w:rsidRPr="00EC5613">
              <w:rPr>
                <w:color w:val="000000"/>
              </w:rPr>
              <w:t>UE</w:t>
            </w:r>
            <w:r w:rsidR="007B307E">
              <w:rPr>
                <w:color w:val="000000"/>
              </w:rPr>
              <w:t>?</w:t>
            </w:r>
          </w:p>
        </w:tc>
        <w:tc>
          <w:tcPr>
            <w:tcW w:w="358" w:type="pct"/>
            <w:noWrap/>
            <w:hideMark/>
          </w:tcPr>
          <w:p w:rsidR="00EC5613" w:rsidRPr="00EC5613" w:rsidRDefault="007B307E" w:rsidP="00B00F45">
            <w:pPr>
              <w:jc w:val="right"/>
              <w:cnfStyle w:val="100000000000" w:firstRow="1" w:lastRow="0" w:firstColumn="0" w:lastColumn="0" w:oddVBand="0" w:evenVBand="0" w:oddHBand="0" w:evenHBand="0" w:firstRowFirstColumn="0" w:firstRowLastColumn="0" w:lastRowFirstColumn="0" w:lastRowLastColumn="0"/>
              <w:rPr>
                <w:color w:val="000000"/>
              </w:rPr>
            </w:pPr>
            <w:r>
              <w:rPr>
                <w:color w:val="000000"/>
              </w:rPr>
              <w:t>E</w:t>
            </w:r>
            <w:r w:rsidR="00EC5613" w:rsidRPr="00EC5613">
              <w:rPr>
                <w:color w:val="000000"/>
              </w:rPr>
              <w:t>uro</w:t>
            </w:r>
            <w:r>
              <w:rPr>
                <w:color w:val="000000"/>
              </w:rPr>
              <w:t>?</w:t>
            </w:r>
          </w:p>
        </w:tc>
        <w:tc>
          <w:tcPr>
            <w:tcW w:w="574" w:type="pct"/>
            <w:noWrap/>
            <w:hideMark/>
          </w:tcPr>
          <w:p w:rsidR="00EC5613" w:rsidRPr="00EC5613" w:rsidRDefault="007B307E" w:rsidP="00B00F45">
            <w:pPr>
              <w:jc w:val="right"/>
              <w:cnfStyle w:val="100000000000" w:firstRow="1" w:lastRow="0" w:firstColumn="0" w:lastColumn="0" w:oddVBand="0" w:evenVBand="0" w:oddHBand="0" w:evenHBand="0" w:firstRowFirstColumn="0" w:firstRowLastColumn="0" w:lastRowFirstColumn="0" w:lastRowLastColumn="0"/>
              <w:rPr>
                <w:color w:val="000000"/>
              </w:rPr>
            </w:pPr>
            <w:r w:rsidRPr="00EC5613">
              <w:rPr>
                <w:color w:val="000000"/>
              </w:rPr>
              <w:t>C</w:t>
            </w:r>
            <w:r w:rsidR="00EC5613" w:rsidRPr="00EC5613">
              <w:rPr>
                <w:color w:val="000000"/>
              </w:rPr>
              <w:t>ontinent</w:t>
            </w:r>
            <w:r>
              <w:rPr>
                <w:color w:val="000000"/>
              </w:rPr>
              <w:t>?</w:t>
            </w:r>
          </w:p>
        </w:tc>
        <w:tc>
          <w:tcPr>
            <w:tcW w:w="573" w:type="pct"/>
            <w:noWrap/>
            <w:hideMark/>
          </w:tcPr>
          <w:p w:rsidR="00EC5613" w:rsidRPr="00EC5613" w:rsidRDefault="007B307E" w:rsidP="00B00F45">
            <w:pPr>
              <w:jc w:val="right"/>
              <w:cnfStyle w:val="100000000000" w:firstRow="1" w:lastRow="0" w:firstColumn="0" w:lastColumn="0" w:oddVBand="0" w:evenVBand="0" w:oddHBand="0" w:evenHBand="0" w:firstRowFirstColumn="0" w:firstRowLastColumn="0" w:lastRowFirstColumn="0" w:lastRowLastColumn="0"/>
              <w:rPr>
                <w:color w:val="000000"/>
              </w:rPr>
            </w:pPr>
            <w:r>
              <w:rPr>
                <w:color w:val="000000"/>
              </w:rPr>
              <w:t>P</w:t>
            </w:r>
            <w:r w:rsidR="00EC5613" w:rsidRPr="00EC5613">
              <w:rPr>
                <w:color w:val="000000"/>
              </w:rPr>
              <w:t>opulation</w:t>
            </w:r>
          </w:p>
        </w:tc>
        <w:tc>
          <w:tcPr>
            <w:tcW w:w="571" w:type="pct"/>
            <w:noWrap/>
            <w:hideMark/>
          </w:tcPr>
          <w:p w:rsidR="00EC5613" w:rsidRPr="00EC5613" w:rsidRDefault="007B307E" w:rsidP="00B00F45">
            <w:pPr>
              <w:jc w:val="right"/>
              <w:cnfStyle w:val="100000000000" w:firstRow="1" w:lastRow="0" w:firstColumn="0" w:lastColumn="0" w:oddVBand="0" w:evenVBand="0" w:oddHBand="0" w:evenHBand="0" w:firstRowFirstColumn="0" w:firstRowLastColumn="0" w:lastRowFirstColumn="0" w:lastRowLastColumn="0"/>
              <w:rPr>
                <w:color w:val="000000"/>
              </w:rPr>
            </w:pPr>
            <w:r>
              <w:rPr>
                <w:color w:val="000000"/>
              </w:rPr>
              <w:t>S</w:t>
            </w:r>
            <w:r w:rsidR="00EC5613" w:rsidRPr="00EC5613">
              <w:rPr>
                <w:color w:val="000000"/>
              </w:rPr>
              <w:t>uperficie</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4477E7" w:rsidP="00EC5613">
            <w:r>
              <w:t>H</w:t>
            </w:r>
            <w:r w:rsidR="00EC5613" w:rsidRPr="00EC5613">
              <w:t>ong Kong (China)</w:t>
            </w:r>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100</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7264100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1104</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4477E7" w:rsidP="00EC5613">
            <w:proofErr w:type="spellStart"/>
            <w:r>
              <w:t>s</w:t>
            </w:r>
            <w:r w:rsidR="00EC5613" w:rsidRPr="00EC5613">
              <w:t>witzerland</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98,018</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7761800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41293</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united</w:t>
            </w:r>
            <w:proofErr w:type="spellEnd"/>
            <w:r w:rsidRPr="00EC5613">
              <w:t xml:space="preserve"> states</w:t>
            </w:r>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97,881</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321830000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9826675</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singapore</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97,649</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5076700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710,2</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sweden</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92,353</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9366092</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449964</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denmark</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91,756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5532531</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43094</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ireland</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16</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91,54</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4581269</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70273</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netherlands</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15</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91,321</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17110000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41526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norway</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90,054</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5195580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385155</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r w:rsidRPr="00EC5613">
              <w:t>canada</w:t>
            </w:r>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10</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90,048</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33740000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9984670</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luxembourg</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11</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90,016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502207</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2586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germany</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12</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88,569</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81757600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357022</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qatar</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13</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13</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86,716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1409000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11</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Republic</w:t>
            </w:r>
            <w:proofErr w:type="spellEnd"/>
            <w:r w:rsidRPr="00EC5613">
              <w:t xml:space="preserve"> of China (Taiwan)</w:t>
            </w:r>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14</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86,374</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23069345</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3598</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r w:rsidRPr="00EC5613">
              <w:t xml:space="preserve">United </w:t>
            </w:r>
            <w:proofErr w:type="spellStart"/>
            <w:r w:rsidRPr="00EC5613">
              <w:t>Arab</w:t>
            </w:r>
            <w:proofErr w:type="spellEnd"/>
            <w:r w:rsidRPr="00EC5613">
              <w:t xml:space="preserve"> </w:t>
            </w:r>
            <w:proofErr w:type="spellStart"/>
            <w:r w:rsidRPr="00EC5613">
              <w:t>Emirates</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15</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12</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86,065</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8264070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836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r w:rsidRPr="00EC5613">
              <w:t xml:space="preserve">new </w:t>
            </w:r>
            <w:proofErr w:type="spellStart"/>
            <w:r w:rsidRPr="00EC5613">
              <w:t>zealand</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16</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17</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85,606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4315800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270534</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australia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17</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18</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84,27</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23839595</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7682300</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united</w:t>
            </w:r>
            <w:proofErr w:type="spellEnd"/>
            <w:r w:rsidRPr="00EC5613">
              <w:t xml:space="preserve"> </w:t>
            </w:r>
            <w:proofErr w:type="spellStart"/>
            <w:r w:rsidRPr="00EC5613">
              <w:t>kingdom</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18</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19</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83,338</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62041708</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24361</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malaysia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19</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14</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83,048</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28306700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329847</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finland</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20</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82,037</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5502075</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338145</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israel</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21</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80,827</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7697600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2077</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belgium</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22</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23</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80,688</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10827519</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30528</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iceland</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23</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24</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80,58</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318452</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103</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austria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24</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26</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80,159</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8372930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83858</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r w:rsidRPr="00EC5613">
              <w:t>china</w:t>
            </w:r>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25</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22</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79,351</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1378890000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9640821</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lastRenderedPageBreak/>
              <w:t>japan</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26</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27</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78,716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127387000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377873</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czech</w:t>
            </w:r>
            <w:proofErr w:type="spellEnd"/>
            <w:r w:rsidRPr="00EC5613">
              <w:t xml:space="preserve"> </w:t>
            </w:r>
            <w:proofErr w:type="spellStart"/>
            <w:r w:rsidRPr="00EC5613">
              <w:t>republic</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27</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29</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76,145</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10532770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78866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thailand</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28</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74,681</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64232760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513115</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south</w:t>
            </w:r>
            <w:proofErr w:type="spellEnd"/>
            <w:r w:rsidRPr="00EC5613">
              <w:t xml:space="preserve"> </w:t>
            </w:r>
            <w:proofErr w:type="spellStart"/>
            <w:r w:rsidRPr="00EC5613">
              <w:t>korea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29</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25</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74,195</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48456369</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99538</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lithuania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30</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28</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74,039</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3053800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653</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estonia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31</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73,548</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1315819</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451</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r w:rsidRPr="00EC5613">
              <w:t>France (</w:t>
            </w:r>
            <w:proofErr w:type="spellStart"/>
            <w:r w:rsidRPr="00EC5613">
              <w:t>Metropolitan</w:t>
            </w:r>
            <w:proofErr w:type="spellEnd"/>
            <w:r w:rsidRPr="00EC5613">
              <w:t>)</w:t>
            </w:r>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32</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32</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73,464</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62793432</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5515</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poland</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33</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33</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71,303</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38163895</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312685</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spain</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34</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37</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69,354</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46087170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50603</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italy</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35</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38</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68,705</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60200060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301318</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r w:rsidRPr="00EC5613">
              <w:t>chile</w:t>
            </w:r>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36</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35</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67,442</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18086199</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756096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latvia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37</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43</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66,554</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2248961</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646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turkey</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38</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66,551</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77804122</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783562</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portugal</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39</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36</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66,406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10636888</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92391</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slovakia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40</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46</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65,886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5424057</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49033</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india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41</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44</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65,831</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1277401883</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3287240</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r w:rsidRPr="00EC5613">
              <w:t>philippines</w:t>
            </w:r>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42</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65,54</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92226600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300076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slovenia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43</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49</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64,87</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2164976</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20256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russia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44</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45</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63,939</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142905208</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17098242</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r w:rsidRPr="00EC5613">
              <w:t>mexico</w:t>
            </w:r>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45</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39</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63,235</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107550697</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1958201</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hungary</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46</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48</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62,649</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10013628</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93032</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kazakhstan</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47</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34</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62,636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17010000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2724900</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indonesia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48</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42</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62,376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237556363</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1904569</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romania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49</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47</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62,268</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21466174</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238391</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bulgaria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50</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55</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61,743</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7351234</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110912</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colombia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51</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58,293</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48638072</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1138914</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south</w:t>
            </w:r>
            <w:proofErr w:type="spellEnd"/>
            <w:r w:rsidRPr="00EC5613">
              <w:t xml:space="preserve"> </w:t>
            </w:r>
            <w:proofErr w:type="spellStart"/>
            <w:r w:rsidRPr="00EC5613">
              <w:t>africa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52</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53</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57,797</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50586757</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1221037</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jordan</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53</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52</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56,875</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6316000</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89342</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peru</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54</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54</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56,202</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29461933</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1285216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argentina</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55</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59</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53,748</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40091359</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2780400</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greece</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56</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52,125</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11306183</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131957</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brazil</w:t>
            </w:r>
            <w:proofErr w:type="spellEnd"/>
          </w:p>
        </w:tc>
        <w:tc>
          <w:tcPr>
            <w:tcW w:w="572"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57</w:t>
            </w:r>
          </w:p>
        </w:tc>
        <w:tc>
          <w:tcPr>
            <w:tcW w:w="575"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56</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51,646</w:t>
            </w:r>
          </w:p>
        </w:tc>
        <w:tc>
          <w:tcPr>
            <w:tcW w:w="287"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203773375</w:t>
            </w:r>
          </w:p>
        </w:tc>
        <w:tc>
          <w:tcPr>
            <w:tcW w:w="571" w:type="pct"/>
            <w:noWrap/>
            <w:hideMark/>
          </w:tcPr>
          <w:p w:rsidR="00EC5613" w:rsidRPr="00EC5613" w:rsidRDefault="00EC5613" w:rsidP="00B00F45">
            <w:pPr>
              <w:jc w:val="right"/>
              <w:cnfStyle w:val="000000000000" w:firstRow="0" w:lastRow="0" w:firstColumn="0" w:lastColumn="0" w:oddVBand="0" w:evenVBand="0" w:oddHBand="0" w:evenHBand="0" w:firstRowFirstColumn="0" w:firstRowLastColumn="0" w:lastRowFirstColumn="0" w:lastRowLastColumn="0"/>
            </w:pPr>
            <w:r w:rsidRPr="00EC5613">
              <w:t>8514877</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croatia</w:t>
            </w:r>
            <w:proofErr w:type="spellEnd"/>
          </w:p>
        </w:tc>
        <w:tc>
          <w:tcPr>
            <w:tcW w:w="572"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58</w:t>
            </w:r>
          </w:p>
        </w:tc>
        <w:tc>
          <w:tcPr>
            <w:tcW w:w="575"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58</w:t>
            </w:r>
          </w:p>
        </w:tc>
        <w:tc>
          <w:tcPr>
            <w:tcW w:w="574"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51,589</w:t>
            </w:r>
          </w:p>
        </w:tc>
        <w:tc>
          <w:tcPr>
            <w:tcW w:w="287"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358"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4443000</w:t>
            </w:r>
          </w:p>
        </w:tc>
        <w:tc>
          <w:tcPr>
            <w:tcW w:w="571"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56538</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ukraine</w:t>
            </w:r>
            <w:proofErr w:type="spellEnd"/>
          </w:p>
        </w:tc>
        <w:tc>
          <w:tcPr>
            <w:tcW w:w="572"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59</w:t>
            </w:r>
          </w:p>
        </w:tc>
        <w:tc>
          <w:tcPr>
            <w:tcW w:w="575"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60</w:t>
            </w:r>
          </w:p>
        </w:tc>
        <w:tc>
          <w:tcPr>
            <w:tcW w:w="574"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46,512</w:t>
            </w:r>
          </w:p>
        </w:tc>
        <w:tc>
          <w:tcPr>
            <w:tcW w:w="287"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1</w:t>
            </w:r>
          </w:p>
        </w:tc>
        <w:tc>
          <w:tcPr>
            <w:tcW w:w="573"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46936000</w:t>
            </w:r>
          </w:p>
        </w:tc>
        <w:tc>
          <w:tcPr>
            <w:tcW w:w="571"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6037</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mongolia</w:t>
            </w:r>
            <w:proofErr w:type="spellEnd"/>
          </w:p>
        </w:tc>
        <w:tc>
          <w:tcPr>
            <w:tcW w:w="572"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60</w:t>
            </w:r>
          </w:p>
        </w:tc>
        <w:tc>
          <w:tcPr>
            <w:tcW w:w="575"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57</w:t>
            </w:r>
          </w:p>
        </w:tc>
        <w:tc>
          <w:tcPr>
            <w:tcW w:w="574"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45,79</w:t>
            </w:r>
          </w:p>
        </w:tc>
        <w:tc>
          <w:tcPr>
            <w:tcW w:w="287"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2671000</w:t>
            </w:r>
          </w:p>
        </w:tc>
        <w:tc>
          <w:tcPr>
            <w:tcW w:w="571"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1564116</w:t>
            </w:r>
          </w:p>
        </w:tc>
      </w:tr>
      <w:tr w:rsidR="00B00F45" w:rsidRPr="00EC5613" w:rsidTr="00B00F45">
        <w:trPr>
          <w:trHeight w:val="300"/>
        </w:trPr>
        <w:tc>
          <w:tcPr>
            <w:cnfStyle w:val="001000000000" w:firstRow="0" w:lastRow="0" w:firstColumn="1" w:lastColumn="0" w:oddVBand="0" w:evenVBand="0" w:oddHBand="0" w:evenHBand="0" w:firstRowFirstColumn="0" w:firstRowLastColumn="0" w:lastRowFirstColumn="0" w:lastRowLastColumn="0"/>
            <w:tcW w:w="917" w:type="pct"/>
            <w:noWrap/>
            <w:hideMark/>
          </w:tcPr>
          <w:p w:rsidR="00EC5613" w:rsidRPr="00EC5613" w:rsidRDefault="00EC5613" w:rsidP="00EC5613">
            <w:proofErr w:type="spellStart"/>
            <w:r w:rsidRPr="00EC5613">
              <w:t>venezuela</w:t>
            </w:r>
            <w:proofErr w:type="spellEnd"/>
          </w:p>
        </w:tc>
        <w:tc>
          <w:tcPr>
            <w:tcW w:w="572"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61</w:t>
            </w:r>
          </w:p>
        </w:tc>
        <w:tc>
          <w:tcPr>
            <w:tcW w:w="575"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61</w:t>
            </w:r>
          </w:p>
        </w:tc>
        <w:tc>
          <w:tcPr>
            <w:tcW w:w="574"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32,603</w:t>
            </w:r>
          </w:p>
        </w:tc>
        <w:tc>
          <w:tcPr>
            <w:tcW w:w="287"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358"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4"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0</w:t>
            </w:r>
          </w:p>
        </w:tc>
        <w:tc>
          <w:tcPr>
            <w:tcW w:w="573"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31524413</w:t>
            </w:r>
          </w:p>
        </w:tc>
        <w:tc>
          <w:tcPr>
            <w:tcW w:w="571" w:type="pct"/>
            <w:noWrap/>
            <w:hideMark/>
          </w:tcPr>
          <w:p w:rsidR="00EC5613" w:rsidRPr="00EC5613" w:rsidRDefault="00EC5613" w:rsidP="00EC5613">
            <w:pPr>
              <w:jc w:val="right"/>
              <w:cnfStyle w:val="000000000000" w:firstRow="0" w:lastRow="0" w:firstColumn="0" w:lastColumn="0" w:oddVBand="0" w:evenVBand="0" w:oddHBand="0" w:evenHBand="0" w:firstRowFirstColumn="0" w:firstRowLastColumn="0" w:lastRowFirstColumn="0" w:lastRowLastColumn="0"/>
            </w:pPr>
            <w:r w:rsidRPr="00EC5613">
              <w:t>916445</w:t>
            </w:r>
          </w:p>
        </w:tc>
      </w:tr>
    </w:tbl>
    <w:p w:rsidR="00D86545" w:rsidRDefault="00D86545" w:rsidP="00505D04">
      <w:pPr>
        <w:jc w:val="both"/>
      </w:pPr>
    </w:p>
    <w:p w:rsidR="003F4F5F" w:rsidRDefault="00023053" w:rsidP="003F4F5F">
      <w:pPr>
        <w:pStyle w:val="Sous-titre"/>
      </w:pPr>
      <w:r>
        <w:t>Script complet sous R</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xml:space="preserve"># ANALYSE de la COMPETITIVITE des PAYS, </w:t>
      </w:r>
      <w:proofErr w:type="spellStart"/>
      <w:r w:rsidRPr="00023053">
        <w:rPr>
          <w:rFonts w:ascii="Courier New" w:hAnsi="Courier New" w:cs="Courier New"/>
          <w:color w:val="008000"/>
          <w:sz w:val="16"/>
          <w:szCs w:val="20"/>
          <w:highlight w:val="white"/>
        </w:rPr>
        <w:t>rappor</w:t>
      </w:r>
      <w:proofErr w:type="spellEnd"/>
      <w:r w:rsidRPr="00023053">
        <w:rPr>
          <w:rFonts w:ascii="Courier New" w:hAnsi="Courier New" w:cs="Courier New"/>
          <w:color w:val="008000"/>
          <w:sz w:val="16"/>
          <w:szCs w:val="20"/>
          <w:highlight w:val="white"/>
        </w:rPr>
        <w:t xml:space="preserve"> IMD2016</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xml:space="preserve"># </w:t>
      </w:r>
      <w:proofErr w:type="gramStart"/>
      <w:r w:rsidRPr="00023053">
        <w:rPr>
          <w:rFonts w:ascii="Courier New" w:hAnsi="Courier New" w:cs="Courier New"/>
          <w:color w:val="008000"/>
          <w:sz w:val="16"/>
          <w:szCs w:val="20"/>
          <w:highlight w:val="white"/>
        </w:rPr>
        <w:t>lien</w:t>
      </w:r>
      <w:proofErr w:type="gramEnd"/>
      <w:r w:rsidRPr="00023053">
        <w:rPr>
          <w:rFonts w:ascii="Courier New" w:hAnsi="Courier New" w:cs="Courier New"/>
          <w:color w:val="008000"/>
          <w:sz w:val="16"/>
          <w:szCs w:val="20"/>
          <w:highlight w:val="white"/>
        </w:rPr>
        <w:t xml:space="preserve"> </w:t>
      </w:r>
      <w:r w:rsidR="00F67C37">
        <w:rPr>
          <w:rFonts w:ascii="Courier New" w:hAnsi="Courier New" w:cs="Courier New"/>
          <w:color w:val="008000"/>
          <w:sz w:val="16"/>
          <w:szCs w:val="20"/>
          <w:highlight w:val="white"/>
        </w:rPr>
        <w:t>de la page IMD de la publication</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000000"/>
          <w:sz w:val="16"/>
          <w:szCs w:val="20"/>
          <w:highlight w:val="white"/>
        </w:rPr>
        <w:t>browseURL</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8000FF"/>
          <w:sz w:val="16"/>
          <w:szCs w:val="20"/>
          <w:highlight w:val="white"/>
        </w:rPr>
        <w:t>url</w:t>
      </w:r>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"http://www.imd.org/wcc/news-wcy-ranking/"</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xml:space="preserve"># </w:t>
      </w:r>
      <w:proofErr w:type="gramStart"/>
      <w:r w:rsidRPr="00023053">
        <w:rPr>
          <w:rFonts w:ascii="Courier New" w:hAnsi="Courier New" w:cs="Courier New"/>
          <w:color w:val="008000"/>
          <w:sz w:val="16"/>
          <w:szCs w:val="20"/>
          <w:highlight w:val="white"/>
        </w:rPr>
        <w:t>préparation</w:t>
      </w:r>
      <w:proofErr w:type="gramEnd"/>
      <w:r w:rsidRPr="00023053">
        <w:rPr>
          <w:rFonts w:ascii="Courier New" w:hAnsi="Courier New" w:cs="Courier New"/>
          <w:color w:val="008000"/>
          <w:sz w:val="16"/>
          <w:szCs w:val="20"/>
          <w:highlight w:val="white"/>
        </w:rPr>
        <w:t xml:space="preserve"> des données</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8000FF"/>
          <w:sz w:val="16"/>
          <w:szCs w:val="20"/>
          <w:highlight w:val="white"/>
        </w:rPr>
        <w:t>setwd</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808080"/>
          <w:sz w:val="16"/>
          <w:szCs w:val="20"/>
          <w:highlight w:val="white"/>
        </w:rPr>
        <w:t xml:space="preserve">"...  </w:t>
      </w:r>
      <w:proofErr w:type="gramStart"/>
      <w:r w:rsidRPr="00023053">
        <w:rPr>
          <w:rFonts w:ascii="Courier New" w:hAnsi="Courier New" w:cs="Courier New"/>
          <w:color w:val="808080"/>
          <w:sz w:val="16"/>
          <w:szCs w:val="20"/>
          <w:highlight w:val="white"/>
        </w:rPr>
        <w:t>[ mon</w:t>
      </w:r>
      <w:proofErr w:type="gramEnd"/>
      <w:r w:rsidRPr="00023053">
        <w:rPr>
          <w:rFonts w:ascii="Courier New" w:hAnsi="Courier New" w:cs="Courier New"/>
          <w:color w:val="808080"/>
          <w:sz w:val="16"/>
          <w:szCs w:val="20"/>
          <w:highlight w:val="white"/>
        </w:rPr>
        <w:t xml:space="preserve"> chemin répertoire de travail ] ..."</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8000FF"/>
          <w:sz w:val="16"/>
          <w:szCs w:val="20"/>
          <w:highlight w:val="white"/>
        </w:rPr>
        <w:lastRenderedPageBreak/>
        <w:t>library</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000000"/>
          <w:sz w:val="16"/>
          <w:szCs w:val="20"/>
          <w:highlight w:val="white"/>
        </w:rPr>
        <w:t>dplyr</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8000FF"/>
          <w:sz w:val="16"/>
          <w:szCs w:val="20"/>
          <w:highlight w:val="white"/>
        </w:rPr>
        <w:t>library</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ggplot2</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8000FF"/>
          <w:sz w:val="16"/>
          <w:szCs w:val="20"/>
          <w:highlight w:val="white"/>
        </w:rPr>
        <w:t>library</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000000"/>
          <w:sz w:val="16"/>
          <w:szCs w:val="20"/>
          <w:highlight w:val="white"/>
        </w:rPr>
        <w:t>leaps</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Fonctions utilisées dans ce script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import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b/>
          <w:bCs/>
          <w:color w:val="0000FF"/>
          <w:sz w:val="16"/>
          <w:szCs w:val="20"/>
          <w:highlight w:val="white"/>
        </w:rPr>
        <w:t>function</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8000FF"/>
          <w:sz w:val="16"/>
          <w:szCs w:val="20"/>
          <w:highlight w:val="white"/>
        </w:rPr>
        <w:t>file</w:t>
      </w:r>
      <w:r w:rsidRPr="00023053">
        <w:rPr>
          <w:rFonts w:ascii="Courier New" w:hAnsi="Courier New" w:cs="Courier New"/>
          <w:color w:val="000000"/>
          <w:sz w:val="16"/>
          <w:szCs w:val="20"/>
          <w:highlight w:val="white"/>
        </w:rPr>
        <w:t>, desktop</w:t>
      </w:r>
      <w:r w:rsidRPr="00023053">
        <w:rPr>
          <w:rFonts w:ascii="Courier New" w:hAnsi="Courier New" w:cs="Courier New"/>
          <w:b/>
          <w:bCs/>
          <w:color w:val="000080"/>
          <w:sz w:val="16"/>
          <w:szCs w:val="20"/>
          <w:highlight w:val="white"/>
        </w:rPr>
        <w:t>=</w:t>
      </w:r>
      <w:r w:rsidRPr="00023053">
        <w:rPr>
          <w:rFonts w:ascii="Courier New" w:hAnsi="Courier New" w:cs="Courier New"/>
          <w:b/>
          <w:bCs/>
          <w:color w:val="0000FF"/>
          <w:sz w:val="16"/>
          <w:szCs w:val="20"/>
          <w:highlight w:val="white"/>
        </w:rPr>
        <w:t>FALSE</w:t>
      </w:r>
      <w:r w:rsidRPr="00023053">
        <w:rPr>
          <w:rFonts w:ascii="Courier New" w:hAnsi="Courier New" w:cs="Courier New"/>
          <w:color w:val="000000"/>
          <w:sz w:val="16"/>
          <w:szCs w:val="20"/>
          <w:highlight w:val="white"/>
        </w:rPr>
        <w:t>,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008000"/>
          <w:sz w:val="16"/>
          <w:szCs w:val="20"/>
          <w:highlight w:val="white"/>
        </w:rPr>
        <w:t># entre guillemets</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000000"/>
          <w:sz w:val="16"/>
          <w:szCs w:val="20"/>
          <w:highlight w:val="white"/>
        </w:rPr>
        <w:t>path</w:t>
      </w:r>
      <w:proofErr w:type="spellEnd"/>
      <w:proofErr w:type="gram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00FF"/>
          <w:sz w:val="16"/>
          <w:szCs w:val="20"/>
          <w:highlight w:val="white"/>
        </w:rPr>
        <w:t>file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b/>
          <w:bCs/>
          <w:color w:val="0000FF"/>
          <w:sz w:val="16"/>
          <w:szCs w:val="20"/>
          <w:highlight w:val="white"/>
        </w:rPr>
        <w:t>if</w:t>
      </w:r>
      <w:proofErr w:type="gram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desktop</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path</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000000"/>
          <w:sz w:val="16"/>
          <w:szCs w:val="20"/>
          <w:highlight w:val="white"/>
        </w:rPr>
        <w:t>paste0</w:t>
      </w:r>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808080"/>
          <w:sz w:val="16"/>
          <w:szCs w:val="20"/>
          <w:highlight w:val="white"/>
        </w:rPr>
        <w:t>"C:/</w:t>
      </w:r>
      <w:proofErr w:type="spellStart"/>
      <w:r w:rsidRPr="00023053">
        <w:rPr>
          <w:rFonts w:ascii="Courier New" w:hAnsi="Courier New" w:cs="Courier New"/>
          <w:color w:val="808080"/>
          <w:sz w:val="16"/>
          <w:szCs w:val="20"/>
          <w:highlight w:val="white"/>
        </w:rPr>
        <w:t>Users</w:t>
      </w:r>
      <w:proofErr w:type="spellEnd"/>
      <w:r w:rsidRPr="00023053">
        <w:rPr>
          <w:rFonts w:ascii="Courier New" w:hAnsi="Courier New" w:cs="Courier New"/>
          <w:color w:val="808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Sys.getenv</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"USERNAME"</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8080"/>
          <w:sz w:val="16"/>
          <w:szCs w:val="20"/>
          <w:highlight w:val="white"/>
        </w:rPr>
        <w:t>"/Desktop/"</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00FF"/>
          <w:sz w:val="16"/>
          <w:szCs w:val="20"/>
          <w:highlight w:val="white"/>
        </w:rPr>
        <w:t>file</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8000FF"/>
          <w:sz w:val="16"/>
          <w:szCs w:val="20"/>
          <w:highlight w:val="white"/>
        </w:rPr>
        <w:t>return</w:t>
      </w:r>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read.csv2</w:t>
      </w:r>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000000"/>
          <w:sz w:val="16"/>
          <w:szCs w:val="20"/>
          <w:highlight w:val="white"/>
        </w:rPr>
        <w:t>path</w:t>
      </w:r>
      <w:proofErr w:type="spellEnd"/>
      <w:r w:rsidRPr="00023053">
        <w:rPr>
          <w:rFonts w:ascii="Courier New" w:hAnsi="Courier New" w:cs="Courier New"/>
          <w:color w:val="000000"/>
          <w:sz w:val="16"/>
          <w:szCs w:val="20"/>
          <w:highlight w:val="white"/>
        </w:rPr>
        <w:t>, sep</w:t>
      </w:r>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dec</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w:t>
      </w:r>
      <w:r w:rsidRPr="00023053">
        <w:rPr>
          <w:rFonts w:ascii="Courier New" w:hAnsi="Courier New" w:cs="Courier New"/>
          <w:color w:val="000000"/>
          <w:sz w:val="16"/>
          <w:szCs w:val="20"/>
          <w:highlight w:val="white"/>
        </w:rPr>
        <w:t>, header</w:t>
      </w:r>
      <w:r w:rsidRPr="00023053">
        <w:rPr>
          <w:rFonts w:ascii="Courier New" w:hAnsi="Courier New" w:cs="Courier New"/>
          <w:b/>
          <w:bCs/>
          <w:color w:val="000080"/>
          <w:sz w:val="16"/>
          <w:szCs w:val="20"/>
          <w:highlight w:val="white"/>
        </w:rPr>
        <w:t>=</w:t>
      </w:r>
      <w:r w:rsidRPr="00023053">
        <w:rPr>
          <w:rFonts w:ascii="Courier New" w:hAnsi="Courier New" w:cs="Courier New"/>
          <w:b/>
          <w:bCs/>
          <w:color w:val="0000FF"/>
          <w:sz w:val="16"/>
          <w:szCs w:val="20"/>
          <w:highlight w:val="white"/>
        </w:rPr>
        <w:t>TRUE</w:t>
      </w:r>
      <w:r w:rsidRPr="00023053">
        <w:rPr>
          <w:rFonts w:ascii="Courier New" w:hAnsi="Courier New" w:cs="Courier New"/>
          <w:color w:val="000000"/>
          <w:sz w:val="16"/>
          <w:szCs w:val="20"/>
          <w:highlight w:val="white"/>
        </w:rPr>
        <w:t>,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r w:rsidRPr="00023053">
        <w:rPr>
          <w:rFonts w:ascii="Courier New" w:hAnsi="Courier New" w:cs="Courier New"/>
          <w:color w:val="000000"/>
          <w:sz w:val="16"/>
          <w:szCs w:val="20"/>
          <w:highlight w:val="white"/>
        </w:rPr>
        <w:t>HistoDens</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b/>
          <w:bCs/>
          <w:color w:val="0000FF"/>
          <w:sz w:val="16"/>
          <w:szCs w:val="20"/>
          <w:highlight w:val="white"/>
        </w:rPr>
        <w:t>function</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x, intervalles</w:t>
      </w:r>
      <w:r w:rsidRPr="00023053">
        <w:rPr>
          <w:rFonts w:ascii="Courier New" w:hAnsi="Courier New" w:cs="Courier New"/>
          <w:b/>
          <w:bCs/>
          <w:color w:val="000080"/>
          <w:sz w:val="16"/>
          <w:szCs w:val="20"/>
          <w:highlight w:val="white"/>
        </w:rPr>
        <w:t>=</w:t>
      </w:r>
      <w:r w:rsidRPr="00023053">
        <w:rPr>
          <w:rFonts w:ascii="Courier New" w:hAnsi="Courier New" w:cs="Courier New"/>
          <w:b/>
          <w:bCs/>
          <w:color w:val="0000FF"/>
          <w:sz w:val="16"/>
          <w:szCs w:val="20"/>
          <w:highlight w:val="white"/>
        </w:rPr>
        <w:t>NULL</w:t>
      </w:r>
      <w:r w:rsidRPr="00023053">
        <w:rPr>
          <w:rFonts w:ascii="Courier New" w:hAnsi="Courier New" w:cs="Courier New"/>
          <w:color w:val="000000"/>
          <w:sz w:val="16"/>
          <w:szCs w:val="20"/>
          <w:highlight w:val="white"/>
        </w:rPr>
        <w:t>, titre</w:t>
      </w:r>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 xml:space="preserve">"histogramme et </w:t>
      </w:r>
      <w:proofErr w:type="spellStart"/>
      <w:r w:rsidRPr="00023053">
        <w:rPr>
          <w:rFonts w:ascii="Courier New" w:hAnsi="Courier New" w:cs="Courier New"/>
          <w:color w:val="808080"/>
          <w:sz w:val="16"/>
          <w:szCs w:val="20"/>
          <w:highlight w:val="white"/>
        </w:rPr>
        <w:t>densit</w:t>
      </w:r>
      <w:proofErr w:type="spellEnd"/>
      <w:r w:rsidRPr="00023053">
        <w:rPr>
          <w:rFonts w:ascii="Courier New" w:hAnsi="Courier New" w:cs="Courier New"/>
          <w:color w:val="808080"/>
          <w:sz w:val="16"/>
          <w:szCs w:val="20"/>
          <w:highlight w:val="white"/>
        </w:rPr>
        <w:t xml:space="preserve">? </w:t>
      </w:r>
      <w:proofErr w:type="spellStart"/>
      <w:r w:rsidRPr="00023053">
        <w:rPr>
          <w:rFonts w:ascii="Courier New" w:hAnsi="Courier New" w:cs="Courier New"/>
          <w:color w:val="808080"/>
          <w:sz w:val="16"/>
          <w:szCs w:val="20"/>
          <w:highlight w:val="white"/>
        </w:rPr>
        <w:t>liss</w:t>
      </w:r>
      <w:proofErr w:type="gramStart"/>
      <w:r w:rsidRPr="00023053">
        <w:rPr>
          <w:rFonts w:ascii="Courier New" w:hAnsi="Courier New" w:cs="Courier New"/>
          <w:color w:val="808080"/>
          <w:sz w:val="16"/>
          <w:szCs w:val="20"/>
          <w:highlight w:val="white"/>
        </w:rPr>
        <w:t>?e</w:t>
      </w:r>
      <w:proofErr w:type="spellEnd"/>
      <w:proofErr w:type="gramEnd"/>
      <w:r w:rsidRPr="00023053">
        <w:rPr>
          <w:rFonts w:ascii="Courier New" w:hAnsi="Courier New" w:cs="Courier New"/>
          <w:color w:val="808080"/>
          <w:sz w:val="16"/>
          <w:szCs w:val="20"/>
          <w:highlight w:val="white"/>
        </w:rPr>
        <w: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000000"/>
          <w:sz w:val="16"/>
          <w:szCs w:val="20"/>
          <w:highlight w:val="white"/>
        </w:rPr>
        <w:t>g</w:t>
      </w:r>
      <w:proofErr w:type="gram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qplot</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x, </w:t>
      </w:r>
      <w:proofErr w:type="spellStart"/>
      <w:r w:rsidRPr="00023053">
        <w:rPr>
          <w:rFonts w:ascii="Courier New" w:hAnsi="Courier New" w:cs="Courier New"/>
          <w:color w:val="000000"/>
          <w:sz w:val="16"/>
          <w:szCs w:val="20"/>
          <w:highlight w:val="white"/>
        </w:rPr>
        <w:t>geom</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w:t>
      </w:r>
      <w:proofErr w:type="spellStart"/>
      <w:r w:rsidRPr="00023053">
        <w:rPr>
          <w:rFonts w:ascii="Courier New" w:hAnsi="Courier New" w:cs="Courier New"/>
          <w:color w:val="808080"/>
          <w:sz w:val="16"/>
          <w:szCs w:val="20"/>
          <w:highlight w:val="white"/>
        </w:rPr>
        <w:t>blank</w:t>
      </w:r>
      <w:proofErr w:type="spellEnd"/>
      <w:r w:rsidRPr="00023053">
        <w:rPr>
          <w:rFonts w:ascii="Courier New" w:hAnsi="Courier New" w:cs="Courier New"/>
          <w:color w:val="808080"/>
          <w:sz w:val="16"/>
          <w:szCs w:val="20"/>
          <w:highlight w:val="white"/>
        </w:rPr>
        <w: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geom_</w:t>
      </w:r>
      <w:proofErr w:type="gramStart"/>
      <w:r w:rsidRPr="00023053">
        <w:rPr>
          <w:rFonts w:ascii="Courier New" w:hAnsi="Courier New" w:cs="Courier New"/>
          <w:color w:val="000000"/>
          <w:sz w:val="16"/>
          <w:szCs w:val="20"/>
          <w:highlight w:val="white"/>
        </w:rPr>
        <w:t>line</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000000"/>
          <w:sz w:val="16"/>
          <w:szCs w:val="20"/>
          <w:highlight w:val="white"/>
        </w:rPr>
        <w:t>aes</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y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000000"/>
          <w:sz w:val="16"/>
          <w:szCs w:val="20"/>
          <w:highlight w:val="white"/>
        </w:rPr>
        <w:t>density</w:t>
      </w:r>
      <w:proofErr w:type="spellEnd"/>
      <w:proofErr w:type="gramEnd"/>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colour</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8080"/>
          <w:sz w:val="16"/>
          <w:szCs w:val="20"/>
          <w:highlight w:val="white"/>
        </w:rPr>
        <w:t>'</w:t>
      </w:r>
      <w:proofErr w:type="spellStart"/>
      <w:r w:rsidRPr="00023053">
        <w:rPr>
          <w:rFonts w:ascii="Courier New" w:hAnsi="Courier New" w:cs="Courier New"/>
          <w:color w:val="808080"/>
          <w:sz w:val="16"/>
          <w:szCs w:val="20"/>
          <w:highlight w:val="white"/>
        </w:rPr>
        <w:t>Empirical</w:t>
      </w:r>
      <w:proofErr w:type="spellEnd"/>
      <w:r w:rsidRPr="00023053">
        <w:rPr>
          <w:rFonts w:ascii="Courier New" w:hAnsi="Courier New" w:cs="Courier New"/>
          <w:color w:val="808080"/>
          <w:sz w:val="16"/>
          <w:szCs w:val="20"/>
          <w:highlight w:val="white"/>
        </w:rPr>
        <w: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stat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8080"/>
          <w:sz w:val="16"/>
          <w:szCs w:val="20"/>
          <w:highlight w:val="white"/>
        </w:rPr>
        <w:t>'</w:t>
      </w:r>
      <w:proofErr w:type="spellStart"/>
      <w:r w:rsidRPr="00023053">
        <w:rPr>
          <w:rFonts w:ascii="Courier New" w:hAnsi="Courier New" w:cs="Courier New"/>
          <w:color w:val="808080"/>
          <w:sz w:val="16"/>
          <w:szCs w:val="20"/>
          <w:highlight w:val="white"/>
        </w:rPr>
        <w:t>density</w:t>
      </w:r>
      <w:proofErr w:type="spellEnd"/>
      <w:r w:rsidRPr="00023053">
        <w:rPr>
          <w:rFonts w:ascii="Courier New" w:hAnsi="Courier New" w:cs="Courier New"/>
          <w:color w:val="808080"/>
          <w:sz w:val="16"/>
          <w:szCs w:val="20"/>
          <w:highlight w:val="white"/>
        </w:rPr>
        <w: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geom_</w:t>
      </w:r>
      <w:proofErr w:type="gramStart"/>
      <w:r w:rsidRPr="00023053">
        <w:rPr>
          <w:rFonts w:ascii="Courier New" w:hAnsi="Courier New" w:cs="Courier New"/>
          <w:color w:val="000000"/>
          <w:sz w:val="16"/>
          <w:szCs w:val="20"/>
          <w:highlight w:val="white"/>
        </w:rPr>
        <w:t>histogram</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000000"/>
          <w:sz w:val="16"/>
          <w:szCs w:val="20"/>
          <w:highlight w:val="white"/>
        </w:rPr>
        <w:t>aes</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y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000000"/>
          <w:sz w:val="16"/>
          <w:szCs w:val="20"/>
          <w:highlight w:val="white"/>
        </w:rPr>
        <w:t>density</w:t>
      </w:r>
      <w:proofErr w:type="spellEnd"/>
      <w:proofErr w:type="gramEnd"/>
      <w:r w:rsidRPr="00023053">
        <w:rPr>
          <w:rFonts w:ascii="Courier New" w:hAnsi="Courier New" w:cs="Courier New"/>
          <w:color w:val="000000"/>
          <w:sz w:val="16"/>
          <w:szCs w:val="20"/>
          <w:highlight w:val="white"/>
        </w:rPr>
        <w: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alpha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FF8000"/>
          <w:sz w:val="16"/>
          <w:szCs w:val="20"/>
          <w:highlight w:val="white"/>
        </w:rPr>
        <w:t>0.4</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binwidth</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intervalles</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scale_colour_</w:t>
      </w:r>
      <w:proofErr w:type="gramStart"/>
      <w:r w:rsidRPr="00023053">
        <w:rPr>
          <w:rFonts w:ascii="Courier New" w:hAnsi="Courier New" w:cs="Courier New"/>
          <w:color w:val="000000"/>
          <w:sz w:val="16"/>
          <w:szCs w:val="20"/>
          <w:highlight w:val="white"/>
        </w:rPr>
        <w:t>manual</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000000"/>
          <w:sz w:val="16"/>
          <w:szCs w:val="20"/>
          <w:highlight w:val="white"/>
        </w:rPr>
        <w:t>name</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8080"/>
          <w:sz w:val="16"/>
          <w:szCs w:val="20"/>
          <w:highlight w:val="white"/>
        </w:rPr>
        <w:t>'</w:t>
      </w:r>
      <w:proofErr w:type="spellStart"/>
      <w:r w:rsidRPr="00023053">
        <w:rPr>
          <w:rFonts w:ascii="Courier New" w:hAnsi="Courier New" w:cs="Courier New"/>
          <w:color w:val="808080"/>
          <w:sz w:val="16"/>
          <w:szCs w:val="20"/>
          <w:highlight w:val="white"/>
        </w:rPr>
        <w:t>densit</w:t>
      </w:r>
      <w:proofErr w:type="spellEnd"/>
      <w:r w:rsidRPr="00023053">
        <w:rPr>
          <w:rFonts w:ascii="Courier New" w:hAnsi="Courier New" w:cs="Courier New"/>
          <w:color w:val="808080"/>
          <w:sz w:val="16"/>
          <w:szCs w:val="20"/>
          <w:highlight w:val="white"/>
        </w:rPr>
        <w:t>?'</w:t>
      </w:r>
      <w:r w:rsidRPr="00023053">
        <w:rPr>
          <w:rFonts w:ascii="Courier New" w:hAnsi="Courier New" w:cs="Courier New"/>
          <w:color w:val="000000"/>
          <w:sz w:val="16"/>
          <w:szCs w:val="20"/>
          <w:highlight w:val="white"/>
        </w:rPr>
        <w:t>, values</w:t>
      </w:r>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w:t>
      </w:r>
      <w:proofErr w:type="spellStart"/>
      <w:r w:rsidRPr="00023053">
        <w:rPr>
          <w:rFonts w:ascii="Courier New" w:hAnsi="Courier New" w:cs="Courier New"/>
          <w:color w:val="808080"/>
          <w:sz w:val="16"/>
          <w:szCs w:val="20"/>
          <w:highlight w:val="white"/>
        </w:rPr>
        <w:t>red</w:t>
      </w:r>
      <w:proofErr w:type="spellEnd"/>
      <w:r w:rsidRPr="00023053">
        <w:rPr>
          <w:rFonts w:ascii="Courier New" w:hAnsi="Courier New" w:cs="Courier New"/>
          <w:color w:val="808080"/>
          <w:sz w:val="16"/>
          <w:szCs w:val="20"/>
          <w:highlight w:val="white"/>
        </w:rPr>
        <w:t>"</w:t>
      </w:r>
      <w:r w:rsidRPr="00023053">
        <w:rPr>
          <w:rFonts w:ascii="Courier New" w:hAnsi="Courier New" w:cs="Courier New"/>
          <w:color w:val="000000"/>
          <w:sz w:val="16"/>
          <w:szCs w:val="20"/>
          <w:highlight w:val="white"/>
        </w:rPr>
        <w:t>, label</w:t>
      </w:r>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"lissage"</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000000"/>
          <w:sz w:val="16"/>
          <w:szCs w:val="20"/>
          <w:highlight w:val="white"/>
        </w:rPr>
        <w:t>xlab</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808080"/>
          <w:sz w:val="16"/>
          <w:szCs w:val="20"/>
          <w:highlight w:val="white"/>
        </w:rPr>
        <w:t>"intervalles de la variable"</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ylab</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w:t>
      </w:r>
      <w:proofErr w:type="spellStart"/>
      <w:r w:rsidRPr="00023053">
        <w:rPr>
          <w:rFonts w:ascii="Courier New" w:hAnsi="Courier New" w:cs="Courier New"/>
          <w:color w:val="808080"/>
          <w:sz w:val="16"/>
          <w:szCs w:val="20"/>
          <w:highlight w:val="white"/>
        </w:rPr>
        <w:t>fr?quence</w:t>
      </w:r>
      <w:proofErr w:type="spellEnd"/>
      <w:r w:rsidRPr="00023053">
        <w:rPr>
          <w:rFonts w:ascii="Courier New" w:hAnsi="Courier New" w:cs="Courier New"/>
          <w:color w:val="808080"/>
          <w:sz w:val="16"/>
          <w:szCs w:val="20"/>
          <w:highlight w:val="white"/>
        </w:rPr>
        <w:t xml:space="preserve"> &amp; </w:t>
      </w:r>
      <w:proofErr w:type="spellStart"/>
      <w:r w:rsidRPr="00023053">
        <w:rPr>
          <w:rFonts w:ascii="Courier New" w:hAnsi="Courier New" w:cs="Courier New"/>
          <w:color w:val="808080"/>
          <w:sz w:val="16"/>
          <w:szCs w:val="20"/>
          <w:highlight w:val="white"/>
        </w:rPr>
        <w:t>densit</w:t>
      </w:r>
      <w:proofErr w:type="spellEnd"/>
      <w:r w:rsidRPr="00023053">
        <w:rPr>
          <w:rFonts w:ascii="Courier New" w:hAnsi="Courier New" w:cs="Courier New"/>
          <w:color w:val="808080"/>
          <w:sz w:val="16"/>
          <w:szCs w:val="20"/>
          <w:highlight w:val="white"/>
        </w:rPr>
        <w: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000000"/>
          <w:sz w:val="16"/>
          <w:szCs w:val="20"/>
          <w:highlight w:val="white"/>
        </w:rPr>
        <w:t>ggtitle</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titre</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8000FF"/>
          <w:sz w:val="16"/>
          <w:szCs w:val="20"/>
          <w:highlight w:val="white"/>
        </w:rPr>
        <w:t>return</w:t>
      </w:r>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g</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Création du tableau de données</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000000"/>
          <w:sz w:val="16"/>
          <w:szCs w:val="20"/>
          <w:highlight w:val="white"/>
        </w:rPr>
        <w:t>import</w:t>
      </w:r>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808080"/>
          <w:sz w:val="16"/>
          <w:szCs w:val="20"/>
          <w:highlight w:val="white"/>
        </w:rPr>
        <w:t>"donnees.csv"</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000000"/>
          <w:sz w:val="16"/>
          <w:szCs w:val="20"/>
          <w:highlight w:val="white"/>
        </w:rPr>
        <w:t>row.names</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8000FF"/>
          <w:sz w:val="16"/>
          <w:szCs w:val="20"/>
          <w:highlight w:val="white"/>
        </w:rPr>
        <w:t>df</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pays</w:t>
      </w:r>
      <w:proofErr w:type="spellEnd"/>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Correction des variables</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log.population</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000000"/>
          <w:sz w:val="16"/>
          <w:szCs w:val="20"/>
          <w:highlight w:val="white"/>
        </w:rPr>
        <w:t>log10</w:t>
      </w:r>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population</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log.superficie</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000000"/>
          <w:sz w:val="16"/>
          <w:szCs w:val="20"/>
          <w:highlight w:val="white"/>
        </w:rPr>
        <w:t>log10</w:t>
      </w:r>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superficie</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DESCRIPTION DES DONNEES</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Default="00023053" w:rsidP="00023053">
      <w:pPr>
        <w:autoSpaceDE w:val="0"/>
        <w:autoSpaceDN w:val="0"/>
        <w:adjustRightInd w:val="0"/>
        <w:spacing w:after="0" w:line="240" w:lineRule="auto"/>
        <w:rPr>
          <w:rFonts w:ascii="Courier New" w:hAnsi="Courier New" w:cs="Courier New"/>
          <w:b/>
          <w:bCs/>
          <w:color w:val="000080"/>
          <w:sz w:val="16"/>
          <w:szCs w:val="20"/>
          <w:highlight w:val="white"/>
        </w:rPr>
      </w:pPr>
      <w:proofErr w:type="spellStart"/>
      <w:proofErr w:type="gramStart"/>
      <w:r w:rsidRPr="00023053">
        <w:rPr>
          <w:rFonts w:ascii="Courier New" w:hAnsi="Courier New" w:cs="Courier New"/>
          <w:color w:val="000000"/>
          <w:sz w:val="16"/>
          <w:szCs w:val="20"/>
          <w:highlight w:val="white"/>
        </w:rPr>
        <w:t>glimpse</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8000FF"/>
          <w:sz w:val="16"/>
          <w:szCs w:val="20"/>
          <w:highlight w:val="white"/>
        </w:rPr>
        <w:t>df</w:t>
      </w:r>
      <w:proofErr w:type="spellEnd"/>
      <w:r w:rsidRPr="00023053">
        <w:rPr>
          <w:rFonts w:ascii="Courier New" w:hAnsi="Courier New" w:cs="Courier New"/>
          <w:b/>
          <w:bCs/>
          <w:color w:val="000080"/>
          <w:sz w:val="16"/>
          <w:szCs w:val="20"/>
          <w:highlight w:val="white"/>
        </w:rPr>
        <w:t>)</w:t>
      </w:r>
    </w:p>
    <w:p w:rsidR="00A537FD" w:rsidRPr="00A537FD" w:rsidRDefault="00A537FD" w:rsidP="00A537FD">
      <w:pPr>
        <w:autoSpaceDE w:val="0"/>
        <w:autoSpaceDN w:val="0"/>
        <w:adjustRightInd w:val="0"/>
        <w:spacing w:after="0" w:line="240" w:lineRule="auto"/>
        <w:rPr>
          <w:rFonts w:ascii="Courier New" w:hAnsi="Courier New" w:cs="Courier New"/>
          <w:color w:val="008000"/>
          <w:sz w:val="16"/>
          <w:szCs w:val="20"/>
          <w:highlight w:val="white"/>
        </w:rPr>
      </w:pPr>
      <w:r w:rsidRPr="00A537FD">
        <w:rPr>
          <w:rFonts w:ascii="Courier New" w:hAnsi="Courier New" w:cs="Courier New"/>
          <w:color w:val="008000"/>
          <w:sz w:val="16"/>
          <w:szCs w:val="20"/>
          <w:highlight w:val="white"/>
        </w:rPr>
        <w:t xml:space="preserve"># </w:t>
      </w:r>
      <w:proofErr w:type="gramStart"/>
      <w:r w:rsidRPr="00A537FD">
        <w:rPr>
          <w:rFonts w:ascii="Courier New" w:hAnsi="Courier New" w:cs="Courier New"/>
          <w:color w:val="008000"/>
          <w:sz w:val="16"/>
          <w:szCs w:val="20"/>
          <w:highlight w:val="white"/>
        </w:rPr>
        <w:t>variable</w:t>
      </w:r>
      <w:proofErr w:type="gramEnd"/>
      <w:r w:rsidRPr="00A537FD">
        <w:rPr>
          <w:rFonts w:ascii="Courier New" w:hAnsi="Courier New" w:cs="Courier New"/>
          <w:color w:val="008000"/>
          <w:sz w:val="16"/>
          <w:szCs w:val="20"/>
          <w:highlight w:val="white"/>
        </w:rPr>
        <w:t xml:space="preserve"> réponse (score): description</w:t>
      </w:r>
    </w:p>
    <w:p w:rsidR="00A537FD" w:rsidRDefault="00A537FD" w:rsidP="00A537FD">
      <w:pPr>
        <w:autoSpaceDE w:val="0"/>
        <w:autoSpaceDN w:val="0"/>
        <w:adjustRightInd w:val="0"/>
        <w:spacing w:after="0" w:line="240" w:lineRule="auto"/>
        <w:rPr>
          <w:rFonts w:ascii="Courier New" w:hAnsi="Courier New" w:cs="Courier New"/>
          <w:color w:val="000000"/>
          <w:sz w:val="16"/>
          <w:szCs w:val="20"/>
        </w:rPr>
      </w:pPr>
      <w:proofErr w:type="spellStart"/>
      <w:proofErr w:type="gramStart"/>
      <w:r w:rsidRPr="00A537FD">
        <w:rPr>
          <w:rFonts w:ascii="Courier New" w:hAnsi="Courier New" w:cs="Courier New"/>
          <w:color w:val="8000FF"/>
          <w:sz w:val="16"/>
          <w:szCs w:val="20"/>
          <w:highlight w:val="white"/>
        </w:rPr>
        <w:t>summary</w:t>
      </w:r>
      <w:proofErr w:type="spellEnd"/>
      <w:r w:rsidRPr="00A537FD">
        <w:rPr>
          <w:rFonts w:ascii="Courier New" w:hAnsi="Courier New" w:cs="Courier New"/>
          <w:color w:val="000000"/>
          <w:sz w:val="16"/>
          <w:szCs w:val="20"/>
        </w:rPr>
        <w:t>(</w:t>
      </w:r>
      <w:proofErr w:type="spellStart"/>
      <w:proofErr w:type="gramEnd"/>
      <w:r w:rsidRPr="00A537FD">
        <w:rPr>
          <w:rFonts w:ascii="Courier New" w:hAnsi="Courier New" w:cs="Courier New"/>
          <w:color w:val="8000FF"/>
          <w:sz w:val="16"/>
          <w:szCs w:val="20"/>
          <w:highlight w:val="white"/>
        </w:rPr>
        <w:t>df</w:t>
      </w:r>
      <w:r w:rsidRPr="00A537FD">
        <w:rPr>
          <w:rFonts w:ascii="Courier New" w:hAnsi="Courier New" w:cs="Courier New"/>
          <w:color w:val="000000"/>
          <w:sz w:val="16"/>
          <w:szCs w:val="20"/>
        </w:rPr>
        <w:t>$score</w:t>
      </w:r>
      <w:proofErr w:type="spellEnd"/>
      <w:r w:rsidRPr="00A537FD">
        <w:rPr>
          <w:rFonts w:ascii="Courier New" w:hAnsi="Courier New" w:cs="Courier New"/>
          <w:color w:val="000000"/>
          <w:sz w:val="16"/>
          <w:szCs w:val="20"/>
        </w:rPr>
        <w:t xml:space="preserve">); </w:t>
      </w:r>
      <w:r w:rsidRPr="00A537FD">
        <w:rPr>
          <w:rFonts w:ascii="Courier New" w:hAnsi="Courier New" w:cs="Courier New"/>
          <w:color w:val="8000FF"/>
          <w:sz w:val="16"/>
          <w:szCs w:val="20"/>
          <w:highlight w:val="white"/>
        </w:rPr>
        <w:t>message</w:t>
      </w:r>
      <w:r w:rsidRPr="00A537FD">
        <w:rPr>
          <w:rFonts w:ascii="Courier New" w:hAnsi="Courier New" w:cs="Courier New"/>
          <w:color w:val="000000"/>
          <w:sz w:val="16"/>
          <w:szCs w:val="20"/>
        </w:rPr>
        <w:t xml:space="preserve">("écart-type du score:"); </w:t>
      </w:r>
      <w:proofErr w:type="spellStart"/>
      <w:r w:rsidRPr="00A537FD">
        <w:rPr>
          <w:rFonts w:ascii="Courier New" w:hAnsi="Courier New" w:cs="Courier New"/>
          <w:color w:val="8000FF"/>
          <w:sz w:val="16"/>
          <w:szCs w:val="20"/>
          <w:highlight w:val="white"/>
        </w:rPr>
        <w:t>df</w:t>
      </w:r>
      <w:r w:rsidRPr="00A537FD">
        <w:rPr>
          <w:rFonts w:ascii="Courier New" w:hAnsi="Courier New" w:cs="Courier New"/>
          <w:color w:val="000000"/>
          <w:sz w:val="16"/>
          <w:szCs w:val="20"/>
        </w:rPr>
        <w:t>$score</w:t>
      </w:r>
      <w:proofErr w:type="spellEnd"/>
      <w:r w:rsidRPr="00A537FD">
        <w:rPr>
          <w:rFonts w:ascii="Courier New" w:hAnsi="Courier New" w:cs="Courier New"/>
          <w:color w:val="000000"/>
          <w:sz w:val="16"/>
          <w:szCs w:val="20"/>
        </w:rPr>
        <w:t xml:space="preserve"> %&gt;% </w:t>
      </w:r>
      <w:proofErr w:type="spellStart"/>
      <w:r w:rsidRPr="00A537FD">
        <w:rPr>
          <w:rFonts w:ascii="Courier New" w:hAnsi="Courier New" w:cs="Courier New"/>
          <w:color w:val="8000FF"/>
          <w:sz w:val="16"/>
          <w:szCs w:val="20"/>
          <w:highlight w:val="white"/>
        </w:rPr>
        <w:t>sd</w:t>
      </w:r>
      <w:proofErr w:type="spellEnd"/>
      <w:r w:rsidRPr="00A537FD">
        <w:rPr>
          <w:rFonts w:ascii="Courier New" w:hAnsi="Courier New" w:cs="Courier New"/>
          <w:color w:val="000000"/>
          <w:sz w:val="16"/>
          <w:szCs w:val="20"/>
        </w:rPr>
        <w:t xml:space="preserve"> %&gt;% </w:t>
      </w:r>
      <w:r w:rsidRPr="00A537FD">
        <w:rPr>
          <w:rFonts w:ascii="Courier New" w:hAnsi="Courier New" w:cs="Courier New"/>
          <w:color w:val="8000FF"/>
          <w:sz w:val="16"/>
          <w:szCs w:val="20"/>
          <w:highlight w:val="white"/>
        </w:rPr>
        <w:t>round</w:t>
      </w:r>
      <w:r w:rsidRPr="00A537FD">
        <w:rPr>
          <w:rFonts w:ascii="Courier New" w:hAnsi="Courier New" w:cs="Courier New"/>
          <w:color w:val="000000"/>
          <w:sz w:val="16"/>
          <w:szCs w:val="20"/>
        </w:rPr>
        <w:t>(2)</w:t>
      </w:r>
    </w:p>
    <w:p w:rsidR="00A537FD" w:rsidRPr="00023053" w:rsidRDefault="00A537FD" w:rsidP="00A537FD">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000000"/>
          <w:sz w:val="16"/>
          <w:szCs w:val="20"/>
          <w:highlight w:val="white"/>
        </w:rPr>
        <w:t>shapiro.test</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Pr>
          <w:rFonts w:ascii="Courier New" w:hAnsi="Courier New" w:cs="Courier New"/>
          <w:color w:val="000000"/>
          <w:sz w:val="16"/>
          <w:szCs w:val="20"/>
          <w:highlight w:val="white"/>
        </w:rPr>
        <w:t>score</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xml:space="preserve"># </w:t>
      </w:r>
      <w:proofErr w:type="gramStart"/>
      <w:r w:rsidRPr="00023053">
        <w:rPr>
          <w:rFonts w:ascii="Courier New" w:hAnsi="Courier New" w:cs="Courier New"/>
          <w:color w:val="008000"/>
          <w:sz w:val="16"/>
          <w:szCs w:val="20"/>
          <w:highlight w:val="white"/>
        </w:rPr>
        <w:t>écart</w:t>
      </w:r>
      <w:proofErr w:type="gramEnd"/>
      <w:r w:rsidRPr="00023053">
        <w:rPr>
          <w:rFonts w:ascii="Courier New" w:hAnsi="Courier New" w:cs="Courier New"/>
          <w:color w:val="008000"/>
          <w:sz w:val="16"/>
          <w:szCs w:val="20"/>
          <w:highlight w:val="white"/>
        </w:rPr>
        <w:t xml:space="preserve"> d'ordre de grandeur pour population et surface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gramStart"/>
      <w:r w:rsidRPr="00023053">
        <w:rPr>
          <w:rFonts w:ascii="Courier New" w:hAnsi="Courier New" w:cs="Courier New"/>
          <w:color w:val="8000FF"/>
          <w:sz w:val="16"/>
          <w:szCs w:val="20"/>
          <w:highlight w:val="white"/>
        </w:rPr>
        <w:t>range</w:t>
      </w:r>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population</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log10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diff</w:t>
      </w:r>
      <w:proofErr w:type="spellEnd"/>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gramStart"/>
      <w:r w:rsidRPr="00023053">
        <w:rPr>
          <w:rFonts w:ascii="Courier New" w:hAnsi="Courier New" w:cs="Courier New"/>
          <w:color w:val="8000FF"/>
          <w:sz w:val="16"/>
          <w:szCs w:val="20"/>
          <w:highlight w:val="white"/>
        </w:rPr>
        <w:t>range</w:t>
      </w:r>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superficie</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log10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diff</w:t>
      </w:r>
      <w:proofErr w:type="spellEnd"/>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xml:space="preserve"># </w:t>
      </w:r>
      <w:proofErr w:type="gramStart"/>
      <w:r w:rsidRPr="00023053">
        <w:rPr>
          <w:rFonts w:ascii="Courier New" w:hAnsi="Courier New" w:cs="Courier New"/>
          <w:color w:val="008000"/>
          <w:sz w:val="16"/>
          <w:szCs w:val="20"/>
          <w:highlight w:val="white"/>
        </w:rPr>
        <w:t>normalité</w:t>
      </w:r>
      <w:proofErr w:type="gramEnd"/>
      <w:r w:rsidRPr="00023053">
        <w:rPr>
          <w:rFonts w:ascii="Courier New" w:hAnsi="Courier New" w:cs="Courier New"/>
          <w:color w:val="00800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000000"/>
          <w:sz w:val="16"/>
          <w:szCs w:val="20"/>
          <w:highlight w:val="white"/>
        </w:rPr>
        <w:t>shapiro.test</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log.population</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000000"/>
          <w:sz w:val="16"/>
          <w:szCs w:val="20"/>
          <w:highlight w:val="white"/>
        </w:rPr>
        <w:t>HistoDens</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8000FF"/>
          <w:sz w:val="16"/>
          <w:szCs w:val="20"/>
          <w:highlight w:val="white"/>
        </w:rPr>
        <w:t>df</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log.population</w:t>
      </w:r>
      <w:proofErr w:type="spellEnd"/>
      <w:r w:rsidRPr="00023053">
        <w:rPr>
          <w:rFonts w:ascii="Courier New" w:hAnsi="Courier New" w:cs="Courier New"/>
          <w:color w:val="000000"/>
          <w:sz w:val="16"/>
          <w:szCs w:val="20"/>
          <w:highlight w:val="white"/>
        </w:rPr>
        <w:t>, titre</w:t>
      </w:r>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"distribution normale des valeurs de population, en LOG base 10"</w:t>
      </w:r>
      <w:r w:rsidRPr="00023053">
        <w:rPr>
          <w:rFonts w:ascii="Courier New" w:hAnsi="Courier New" w:cs="Courier New"/>
          <w:b/>
          <w:bCs/>
          <w:color w:val="000080"/>
          <w:sz w:val="16"/>
          <w:szCs w:val="20"/>
          <w:highlight w:val="white"/>
        </w:rPr>
        <w:t>)</w:t>
      </w:r>
      <w:r w:rsidR="00D61382" w:rsidRPr="00F0645D">
        <w:rPr>
          <w:rFonts w:ascii="Courier New" w:hAnsi="Courier New" w:cs="Courier New"/>
          <w:color w:val="000000"/>
          <w:sz w:val="16"/>
          <w:szCs w:val="20"/>
        </w:rPr>
        <w:t>+</w:t>
      </w:r>
      <w:proofErr w:type="spellStart"/>
      <w:r w:rsidR="00D61382" w:rsidRPr="00F0645D">
        <w:rPr>
          <w:rFonts w:ascii="Courier New" w:hAnsi="Courier New" w:cs="Courier New"/>
          <w:color w:val="000000"/>
          <w:sz w:val="16"/>
          <w:szCs w:val="20"/>
        </w:rPr>
        <w:t>scale_x_continuous</w:t>
      </w:r>
      <w:proofErr w:type="spellEnd"/>
      <w:r w:rsidR="00D61382" w:rsidRPr="00F0645D">
        <w:rPr>
          <w:rFonts w:ascii="Courier New" w:hAnsi="Courier New" w:cs="Courier New"/>
          <w:color w:val="000000"/>
          <w:sz w:val="16"/>
          <w:szCs w:val="20"/>
        </w:rPr>
        <w:t xml:space="preserve">(labels=c(0,"1m","10m", "100m", "1b")) + </w:t>
      </w:r>
      <w:proofErr w:type="spellStart"/>
      <w:r w:rsidR="00D61382" w:rsidRPr="00F0645D">
        <w:rPr>
          <w:rFonts w:ascii="Courier New" w:hAnsi="Courier New" w:cs="Courier New"/>
          <w:color w:val="000000"/>
          <w:sz w:val="16"/>
          <w:szCs w:val="20"/>
        </w:rPr>
        <w:t>xlab</w:t>
      </w:r>
      <w:proofErr w:type="spellEnd"/>
      <w:r w:rsidR="00D61382" w:rsidRPr="00F0645D">
        <w:rPr>
          <w:rFonts w:ascii="Courier New" w:hAnsi="Courier New" w:cs="Courier New"/>
          <w:color w:val="000000"/>
          <w:sz w:val="16"/>
          <w:szCs w:val="20"/>
        </w:rPr>
        <w:t>("</w:t>
      </w:r>
      <w:r w:rsidR="00D61382" w:rsidRPr="00D61382">
        <w:rPr>
          <w:rFonts w:ascii="Courier New" w:hAnsi="Courier New" w:cs="Courier New"/>
          <w:color w:val="808080"/>
          <w:sz w:val="16"/>
          <w:szCs w:val="20"/>
          <w:highlight w:val="white"/>
        </w:rPr>
        <w:t>intervalles de population"</w:t>
      </w:r>
      <w:r w:rsidR="00D61382" w:rsidRPr="00F0645D">
        <w:rPr>
          <w:rFonts w:ascii="Courier New" w:hAnsi="Courier New" w:cs="Courier New"/>
          <w:color w:val="000000"/>
          <w:sz w:val="16"/>
          <w:szCs w:val="20"/>
        </w:rPr>
        <w:t xml:space="preserve">) + </w:t>
      </w:r>
      <w:proofErr w:type="spellStart"/>
      <w:r w:rsidR="00D61382" w:rsidRPr="00F0645D">
        <w:rPr>
          <w:rFonts w:ascii="Courier New" w:hAnsi="Courier New" w:cs="Courier New"/>
          <w:color w:val="000000"/>
          <w:sz w:val="16"/>
          <w:szCs w:val="20"/>
        </w:rPr>
        <w:t>ylab</w:t>
      </w:r>
      <w:proofErr w:type="spellEnd"/>
      <w:r w:rsidR="00D61382" w:rsidRPr="00F0645D">
        <w:rPr>
          <w:rFonts w:ascii="Courier New" w:hAnsi="Courier New" w:cs="Courier New"/>
          <w:color w:val="000000"/>
          <w:sz w:val="16"/>
          <w:szCs w:val="20"/>
        </w:rPr>
        <w:t>("</w:t>
      </w:r>
      <w:proofErr w:type="spellStart"/>
      <w:r w:rsidR="00D61382" w:rsidRPr="00D61382">
        <w:rPr>
          <w:rFonts w:ascii="Courier New" w:hAnsi="Courier New" w:cs="Courier New"/>
          <w:color w:val="808080"/>
          <w:sz w:val="16"/>
          <w:szCs w:val="20"/>
          <w:highlight w:val="white"/>
        </w:rPr>
        <w:t>frequence</w:t>
      </w:r>
      <w:proofErr w:type="spellEnd"/>
      <w:r w:rsidR="00D61382" w:rsidRPr="00D61382">
        <w:rPr>
          <w:rFonts w:ascii="Courier New" w:hAnsi="Courier New" w:cs="Courier New"/>
          <w:color w:val="808080"/>
          <w:sz w:val="16"/>
          <w:szCs w:val="20"/>
          <w:highlight w:val="white"/>
        </w:rPr>
        <w:t xml:space="preserve"> et densité</w:t>
      </w:r>
      <w:r w:rsidR="00D61382" w:rsidRPr="00F0645D">
        <w:rPr>
          <w:rFonts w:ascii="Courier New" w:hAnsi="Courier New" w:cs="Courier New"/>
          <w:color w:val="000000"/>
          <w:sz w:val="16"/>
          <w:szCs w:val="20"/>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ANALYSE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Test d’un lien entre superficie d’un pays et 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fit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8000FF"/>
          <w:sz w:val="16"/>
          <w:szCs w:val="20"/>
          <w:highlight w:val="white"/>
        </w:rPr>
        <w:t>lm</w:t>
      </w:r>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8000FF"/>
          <w:sz w:val="16"/>
          <w:szCs w:val="20"/>
          <w:highlight w:val="white"/>
        </w:rPr>
        <w:t>data</w:t>
      </w:r>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score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log.population</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xml:space="preserve"># </w:t>
      </w:r>
      <w:proofErr w:type="gramStart"/>
      <w:r w:rsidRPr="00023053">
        <w:rPr>
          <w:rFonts w:ascii="Courier New" w:hAnsi="Courier New" w:cs="Courier New"/>
          <w:color w:val="008000"/>
          <w:sz w:val="16"/>
          <w:szCs w:val="20"/>
          <w:highlight w:val="white"/>
        </w:rPr>
        <w:t>des</w:t>
      </w:r>
      <w:proofErr w:type="gramEnd"/>
      <w:r w:rsidRPr="00023053">
        <w:rPr>
          <w:rFonts w:ascii="Courier New" w:hAnsi="Courier New" w:cs="Courier New"/>
          <w:color w:val="008000"/>
          <w:sz w:val="16"/>
          <w:szCs w:val="20"/>
          <w:highlight w:val="white"/>
        </w:rPr>
        <w:t xml:space="preserve"> individus trop "influents" sur la régression normale?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8000FF"/>
          <w:sz w:val="16"/>
          <w:szCs w:val="20"/>
          <w:highlight w:val="white"/>
        </w:rPr>
        <w:t>which</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000000"/>
          <w:sz w:val="16"/>
          <w:szCs w:val="20"/>
          <w:highlight w:val="white"/>
        </w:rPr>
        <w:t>cooks.distance</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fit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&gt;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FF8000"/>
          <w:sz w:val="16"/>
          <w:szCs w:val="20"/>
          <w:highlight w:val="white"/>
        </w:rPr>
        <w:t>3</w:t>
      </w:r>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8000FF"/>
          <w:sz w:val="16"/>
          <w:szCs w:val="20"/>
          <w:highlight w:val="white"/>
        </w:rPr>
        <w:t>length</w:t>
      </w:r>
      <w:proofErr w:type="spellEnd"/>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000000"/>
          <w:sz w:val="16"/>
          <w:szCs w:val="20"/>
          <w:highlight w:val="white"/>
        </w:rPr>
        <w:t>fit</w:t>
      </w:r>
      <w:r w:rsidRPr="00023053">
        <w:rPr>
          <w:rFonts w:ascii="Courier New" w:hAnsi="Courier New" w:cs="Courier New"/>
          <w:b/>
          <w:bCs/>
          <w:color w:val="000080"/>
          <w:sz w:val="16"/>
          <w:szCs w:val="20"/>
          <w:highlight w:val="white"/>
        </w:rPr>
        <w:t>$</w:t>
      </w:r>
      <w:r w:rsidRPr="00023053">
        <w:rPr>
          <w:rFonts w:ascii="Courier New" w:hAnsi="Courier New" w:cs="Courier New"/>
          <w:color w:val="8000FF"/>
          <w:sz w:val="16"/>
          <w:szCs w:val="20"/>
          <w:highlight w:val="white"/>
        </w:rPr>
        <w:t>coef</w:t>
      </w:r>
      <w:proofErr w:type="spellEnd"/>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8000FF"/>
          <w:sz w:val="16"/>
          <w:szCs w:val="20"/>
          <w:highlight w:val="white"/>
        </w:rPr>
        <w:t>nrow</w:t>
      </w:r>
      <w:proofErr w:type="spellEnd"/>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xml:space="preserve"># </w:t>
      </w:r>
      <w:proofErr w:type="gramStart"/>
      <w:r w:rsidRPr="00023053">
        <w:rPr>
          <w:rFonts w:ascii="Courier New" w:hAnsi="Courier New" w:cs="Courier New"/>
          <w:color w:val="008000"/>
          <w:sz w:val="16"/>
          <w:szCs w:val="20"/>
          <w:highlight w:val="white"/>
        </w:rPr>
        <w:t>régression</w:t>
      </w:r>
      <w:proofErr w:type="gramEnd"/>
      <w:r w:rsidRPr="00023053">
        <w:rPr>
          <w:rFonts w:ascii="Courier New" w:hAnsi="Courier New" w:cs="Courier New"/>
          <w:color w:val="008000"/>
          <w:sz w:val="16"/>
          <w:szCs w:val="20"/>
          <w:highlight w:val="white"/>
        </w:rPr>
        <w:t xml:space="preserve"> robuste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fit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MASS</w:t>
      </w:r>
      <w:proofErr w:type="gramStart"/>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000000"/>
          <w:sz w:val="16"/>
          <w:szCs w:val="20"/>
          <w:highlight w:val="white"/>
        </w:rPr>
        <w:t>rlm</w:t>
      </w:r>
      <w:proofErr w:type="spellEnd"/>
      <w:proofErr w:type="gramEnd"/>
      <w:r w:rsidRPr="00023053">
        <w:rPr>
          <w:rFonts w:ascii="Courier New" w:hAnsi="Courier New" w:cs="Courier New"/>
          <w:b/>
          <w:bCs/>
          <w:color w:val="000080"/>
          <w:sz w:val="16"/>
          <w:szCs w:val="20"/>
          <w:highlight w:val="white"/>
        </w:rPr>
        <w:t>(</w:t>
      </w:r>
      <w:r w:rsidRPr="00023053">
        <w:rPr>
          <w:rFonts w:ascii="Courier New" w:hAnsi="Courier New" w:cs="Courier New"/>
          <w:color w:val="8000FF"/>
          <w:sz w:val="16"/>
          <w:szCs w:val="20"/>
          <w:highlight w:val="white"/>
        </w:rPr>
        <w:t>data</w:t>
      </w:r>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score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log.superficie</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car</w:t>
      </w:r>
      <w:proofErr w:type="gramStart"/>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000000"/>
          <w:sz w:val="16"/>
          <w:szCs w:val="20"/>
          <w:highlight w:val="white"/>
        </w:rPr>
        <w:t>Anova</w:t>
      </w:r>
      <w:proofErr w:type="spellEnd"/>
      <w:proofErr w:type="gram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fit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coef</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fit</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xml:space="preserve"># </w:t>
      </w:r>
      <w:proofErr w:type="gramStart"/>
      <w:r w:rsidRPr="00023053">
        <w:rPr>
          <w:rFonts w:ascii="Courier New" w:hAnsi="Courier New" w:cs="Courier New"/>
          <w:color w:val="008000"/>
          <w:sz w:val="16"/>
          <w:szCs w:val="20"/>
          <w:highlight w:val="white"/>
        </w:rPr>
        <w:t>validation</w:t>
      </w:r>
      <w:proofErr w:type="gramEnd"/>
      <w:r w:rsidRPr="00023053">
        <w:rPr>
          <w:rFonts w:ascii="Courier New" w:hAnsi="Courier New" w:cs="Courier New"/>
          <w:color w:val="008000"/>
          <w:sz w:val="16"/>
          <w:szCs w:val="20"/>
          <w:highlight w:val="white"/>
        </w:rPr>
        <w:t xml:space="preserve"> (rapide ici)</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000000"/>
          <w:sz w:val="16"/>
          <w:szCs w:val="20"/>
          <w:highlight w:val="white"/>
        </w:rPr>
        <w:t>shapiro.test</w:t>
      </w:r>
      <w:proofErr w:type="spellEnd"/>
      <w:r w:rsidRPr="00023053">
        <w:rPr>
          <w:rFonts w:ascii="Courier New" w:hAnsi="Courier New" w:cs="Courier New"/>
          <w:b/>
          <w:bCs/>
          <w:color w:val="000080"/>
          <w:sz w:val="16"/>
          <w:szCs w:val="20"/>
          <w:highlight w:val="white"/>
        </w:rPr>
        <w:t>(</w:t>
      </w:r>
      <w:proofErr w:type="spellStart"/>
      <w:proofErr w:type="gramEnd"/>
      <w:r w:rsidRPr="00023053">
        <w:rPr>
          <w:rFonts w:ascii="Courier New" w:hAnsi="Courier New" w:cs="Courier New"/>
          <w:color w:val="000000"/>
          <w:sz w:val="16"/>
          <w:szCs w:val="20"/>
          <w:highlight w:val="white"/>
        </w:rPr>
        <w:t>fit</w:t>
      </w:r>
      <w:r w:rsidRPr="00023053">
        <w:rPr>
          <w:rFonts w:ascii="Courier New" w:hAnsi="Courier New" w:cs="Courier New"/>
          <w:b/>
          <w:bCs/>
          <w:color w:val="000080"/>
          <w:sz w:val="16"/>
          <w:szCs w:val="20"/>
          <w:highlight w:val="white"/>
        </w:rPr>
        <w:t>$</w:t>
      </w:r>
      <w:r w:rsidRPr="00023053">
        <w:rPr>
          <w:rFonts w:ascii="Courier New" w:hAnsi="Courier New" w:cs="Courier New"/>
          <w:color w:val="8000FF"/>
          <w:sz w:val="16"/>
          <w:szCs w:val="20"/>
          <w:highlight w:val="white"/>
        </w:rPr>
        <w:t>residuals</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Test d’un lien entre population d’un pays et 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fit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MASS</w:t>
      </w:r>
      <w:proofErr w:type="gramStart"/>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000000"/>
          <w:sz w:val="16"/>
          <w:szCs w:val="20"/>
          <w:highlight w:val="white"/>
        </w:rPr>
        <w:t>rlm</w:t>
      </w:r>
      <w:proofErr w:type="spellEnd"/>
      <w:proofErr w:type="gramEnd"/>
      <w:r w:rsidRPr="00023053">
        <w:rPr>
          <w:rFonts w:ascii="Courier New" w:hAnsi="Courier New" w:cs="Courier New"/>
          <w:b/>
          <w:bCs/>
          <w:color w:val="000080"/>
          <w:sz w:val="16"/>
          <w:szCs w:val="20"/>
          <w:highlight w:val="white"/>
        </w:rPr>
        <w:t>(</w:t>
      </w:r>
      <w:r w:rsidRPr="00023053">
        <w:rPr>
          <w:rFonts w:ascii="Courier New" w:hAnsi="Courier New" w:cs="Courier New"/>
          <w:color w:val="8000FF"/>
          <w:sz w:val="16"/>
          <w:szCs w:val="20"/>
          <w:highlight w:val="white"/>
        </w:rPr>
        <w:t>data</w:t>
      </w:r>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score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log.population</w:t>
      </w:r>
      <w:proofErr w:type="spellEnd"/>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car</w:t>
      </w:r>
      <w:proofErr w:type="gramStart"/>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000000"/>
          <w:sz w:val="16"/>
          <w:szCs w:val="20"/>
          <w:highlight w:val="white"/>
        </w:rPr>
        <w:t>Anova</w:t>
      </w:r>
      <w:proofErr w:type="spellEnd"/>
      <w:proofErr w:type="gram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fit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coef</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fit</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Test d’un lien entre appartenance à l’UE/zone Euro et le 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r w:rsidRPr="00023053">
        <w:rPr>
          <w:rFonts w:ascii="Courier New" w:hAnsi="Courier New" w:cs="Courier New"/>
          <w:color w:val="000000"/>
          <w:sz w:val="16"/>
          <w:szCs w:val="20"/>
          <w:highlight w:val="white"/>
        </w:rPr>
        <w:t>wilcox.test</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x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8000FF"/>
          <w:sz w:val="16"/>
          <w:szCs w:val="20"/>
          <w:highlight w:val="white"/>
        </w:rPr>
        <w:t>filter</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continent</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1</w:t>
      </w:r>
      <w:r w:rsidRPr="00023053">
        <w:rPr>
          <w:rFonts w:ascii="Courier New" w:hAnsi="Courier New" w:cs="Courier New"/>
          <w:color w:val="000000"/>
          <w:sz w:val="16"/>
          <w:szCs w:val="20"/>
          <w:highlight w:val="white"/>
        </w:rPr>
        <w:t>, UE</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0</w:t>
      </w:r>
      <w:r w:rsidRPr="00023053">
        <w:rPr>
          <w:rFonts w:ascii="Courier New" w:hAnsi="Courier New" w:cs="Courier New"/>
          <w:color w:val="000000"/>
          <w:sz w:val="16"/>
          <w:szCs w:val="20"/>
          <w:highlight w:val="white"/>
        </w:rPr>
        <w:t>, euro</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0</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y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8000FF"/>
          <w:sz w:val="16"/>
          <w:szCs w:val="20"/>
          <w:highlight w:val="white"/>
        </w:rPr>
        <w:t>filter</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continent</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1</w:t>
      </w:r>
      <w:r w:rsidRPr="00023053">
        <w:rPr>
          <w:rFonts w:ascii="Courier New" w:hAnsi="Courier New" w:cs="Courier New"/>
          <w:color w:val="000000"/>
          <w:sz w:val="16"/>
          <w:szCs w:val="20"/>
          <w:highlight w:val="white"/>
        </w:rPr>
        <w:t>, UE</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1</w:t>
      </w:r>
      <w:r w:rsidRPr="00023053">
        <w:rPr>
          <w:rFonts w:ascii="Courier New" w:hAnsi="Courier New" w:cs="Courier New"/>
          <w:color w:val="000000"/>
          <w:sz w:val="16"/>
          <w:szCs w:val="20"/>
          <w:highlight w:val="white"/>
        </w:rPr>
        <w:t>, euro</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1</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000000"/>
          <w:sz w:val="16"/>
          <w:szCs w:val="20"/>
          <w:highlight w:val="white"/>
        </w:rPr>
        <w:t>alternative</w:t>
      </w:r>
      <w:proofErr w:type="gramEnd"/>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w:t>
      </w:r>
      <w:proofErr w:type="spellStart"/>
      <w:r w:rsidRPr="00023053">
        <w:rPr>
          <w:rFonts w:ascii="Courier New" w:hAnsi="Courier New" w:cs="Courier New"/>
          <w:color w:val="808080"/>
          <w:sz w:val="16"/>
          <w:szCs w:val="20"/>
          <w:highlight w:val="white"/>
        </w:rPr>
        <w:t>two.sided</w:t>
      </w:r>
      <w:proofErr w:type="spellEnd"/>
      <w:r w:rsidRPr="00023053">
        <w:rPr>
          <w:rFonts w:ascii="Courier New" w:hAnsi="Courier New" w:cs="Courier New"/>
          <w:color w:val="808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paired</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 exact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T, correct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 conf.int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T</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Test d’un lien entre appartenance à l’UE dans le monde le 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r w:rsidRPr="00023053">
        <w:rPr>
          <w:rFonts w:ascii="Courier New" w:hAnsi="Courier New" w:cs="Courier New"/>
          <w:color w:val="000000"/>
          <w:sz w:val="16"/>
          <w:szCs w:val="20"/>
          <w:highlight w:val="white"/>
        </w:rPr>
        <w:t>wilcox.test</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x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8000FF"/>
          <w:sz w:val="16"/>
          <w:szCs w:val="20"/>
          <w:highlight w:val="white"/>
        </w:rPr>
        <w:t>filter</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UE</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0</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y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8000FF"/>
          <w:sz w:val="16"/>
          <w:szCs w:val="20"/>
          <w:highlight w:val="white"/>
        </w:rPr>
        <w:t>filter</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UE</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1</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000000"/>
          <w:sz w:val="16"/>
          <w:szCs w:val="20"/>
          <w:highlight w:val="white"/>
        </w:rPr>
        <w:t>alternative</w:t>
      </w:r>
      <w:proofErr w:type="gramEnd"/>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w:t>
      </w:r>
      <w:proofErr w:type="spellStart"/>
      <w:r w:rsidRPr="00023053">
        <w:rPr>
          <w:rFonts w:ascii="Courier New" w:hAnsi="Courier New" w:cs="Courier New"/>
          <w:color w:val="808080"/>
          <w:sz w:val="16"/>
          <w:szCs w:val="20"/>
          <w:highlight w:val="white"/>
        </w:rPr>
        <w:t>two.sided</w:t>
      </w:r>
      <w:proofErr w:type="spellEnd"/>
      <w:r w:rsidRPr="00023053">
        <w:rPr>
          <w:rFonts w:ascii="Courier New" w:hAnsi="Courier New" w:cs="Courier New"/>
          <w:color w:val="808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paired</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 exact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T, correct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 conf.int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T</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Test d’un lien entre appartenance à l’euro dans le monde le 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r w:rsidRPr="00023053">
        <w:rPr>
          <w:rFonts w:ascii="Courier New" w:hAnsi="Courier New" w:cs="Courier New"/>
          <w:color w:val="000000"/>
          <w:sz w:val="16"/>
          <w:szCs w:val="20"/>
          <w:highlight w:val="white"/>
        </w:rPr>
        <w:t>wilcox.test</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x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8000FF"/>
          <w:sz w:val="16"/>
          <w:szCs w:val="20"/>
          <w:highlight w:val="white"/>
        </w:rPr>
        <w:t>filter</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euro</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0</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y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8000FF"/>
          <w:sz w:val="16"/>
          <w:szCs w:val="20"/>
          <w:highlight w:val="white"/>
        </w:rPr>
        <w:t>filter</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euro</w:t>
      </w:r>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1</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color w:val="804000"/>
          <w:sz w:val="16"/>
          <w:szCs w:val="20"/>
          <w:highlight w:val="white"/>
        </w:rPr>
        <w:t>%&gt;%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score,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            </w:t>
      </w:r>
      <w:proofErr w:type="gramStart"/>
      <w:r w:rsidRPr="00023053">
        <w:rPr>
          <w:rFonts w:ascii="Courier New" w:hAnsi="Courier New" w:cs="Courier New"/>
          <w:color w:val="000000"/>
          <w:sz w:val="16"/>
          <w:szCs w:val="20"/>
          <w:highlight w:val="white"/>
        </w:rPr>
        <w:t>alternative</w:t>
      </w:r>
      <w:proofErr w:type="gramEnd"/>
      <w:r w:rsidRPr="00023053">
        <w:rPr>
          <w:rFonts w:ascii="Courier New" w:hAnsi="Courier New" w:cs="Courier New"/>
          <w:b/>
          <w:bCs/>
          <w:color w:val="000080"/>
          <w:sz w:val="16"/>
          <w:szCs w:val="20"/>
          <w:highlight w:val="white"/>
        </w:rPr>
        <w:t>=</w:t>
      </w:r>
      <w:r w:rsidRPr="00023053">
        <w:rPr>
          <w:rFonts w:ascii="Courier New" w:hAnsi="Courier New" w:cs="Courier New"/>
          <w:color w:val="808080"/>
          <w:sz w:val="16"/>
          <w:szCs w:val="20"/>
          <w:highlight w:val="white"/>
        </w:rPr>
        <w:t>"</w:t>
      </w:r>
      <w:proofErr w:type="spellStart"/>
      <w:r w:rsidRPr="00023053">
        <w:rPr>
          <w:rFonts w:ascii="Courier New" w:hAnsi="Courier New" w:cs="Courier New"/>
          <w:color w:val="808080"/>
          <w:sz w:val="16"/>
          <w:szCs w:val="20"/>
          <w:highlight w:val="white"/>
        </w:rPr>
        <w:t>two.sided</w:t>
      </w:r>
      <w:proofErr w:type="spellEnd"/>
      <w:r w:rsidRPr="00023053">
        <w:rPr>
          <w:rFonts w:ascii="Courier New" w:hAnsi="Courier New" w:cs="Courier New"/>
          <w:color w:val="808080"/>
          <w:sz w:val="16"/>
          <w:szCs w:val="20"/>
          <w:highlight w:val="white"/>
        </w:rPr>
        <w:t>"</w:t>
      </w:r>
      <w:r w:rsidRPr="00023053">
        <w:rPr>
          <w:rFonts w:ascii="Courier New" w:hAnsi="Courier New" w:cs="Courier New"/>
          <w:color w:val="000000"/>
          <w:sz w:val="16"/>
          <w:szCs w:val="20"/>
          <w:highlight w:val="white"/>
        </w:rPr>
        <w:t xml:space="preserve">, </w:t>
      </w:r>
      <w:proofErr w:type="spellStart"/>
      <w:r w:rsidRPr="00023053">
        <w:rPr>
          <w:rFonts w:ascii="Courier New" w:hAnsi="Courier New" w:cs="Courier New"/>
          <w:color w:val="000000"/>
          <w:sz w:val="16"/>
          <w:szCs w:val="20"/>
          <w:highlight w:val="white"/>
        </w:rPr>
        <w:t>paired</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 exact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T, correct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F, conf.int</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T</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 Test d'un modèle complet et sélection de variable</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0000"/>
          <w:sz w:val="16"/>
          <w:szCs w:val="20"/>
          <w:highlight w:val="white"/>
        </w:rPr>
        <w:t xml:space="preserve">fit </w:t>
      </w:r>
      <w:r w:rsidRPr="00023053">
        <w:rPr>
          <w:rFonts w:ascii="Courier New" w:hAnsi="Courier New" w:cs="Courier New"/>
          <w:b/>
          <w:bCs/>
          <w:color w:val="000080"/>
          <w:sz w:val="16"/>
          <w:szCs w:val="20"/>
          <w:highlight w:val="white"/>
        </w:rPr>
        <w:t>&lt;-</w:t>
      </w:r>
      <w:r w:rsidRPr="00023053">
        <w:rPr>
          <w:rFonts w:ascii="Courier New" w:hAnsi="Courier New" w:cs="Courier New"/>
          <w:color w:val="000000"/>
          <w:sz w:val="16"/>
          <w:szCs w:val="20"/>
          <w:highlight w:val="white"/>
        </w:rPr>
        <w:t xml:space="preserve"> </w:t>
      </w:r>
      <w:proofErr w:type="spellStart"/>
      <w:proofErr w:type="gramStart"/>
      <w:r w:rsidRPr="00023053">
        <w:rPr>
          <w:rFonts w:ascii="Courier New" w:hAnsi="Courier New" w:cs="Courier New"/>
          <w:color w:val="000000"/>
          <w:sz w:val="16"/>
          <w:szCs w:val="20"/>
          <w:highlight w:val="white"/>
        </w:rPr>
        <w:t>regsubsets</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8000FF"/>
          <w:sz w:val="16"/>
          <w:szCs w:val="20"/>
          <w:highlight w:val="white"/>
        </w:rPr>
        <w:t>data</w:t>
      </w:r>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8000FF"/>
          <w:sz w:val="16"/>
          <w:szCs w:val="20"/>
          <w:highlight w:val="white"/>
        </w:rPr>
        <w:t>df</w:t>
      </w:r>
      <w:proofErr w:type="spellEnd"/>
      <w:r w:rsidRPr="00023053">
        <w:rPr>
          <w:rFonts w:ascii="Courier New" w:hAnsi="Courier New" w:cs="Courier New"/>
          <w:color w:val="000000"/>
          <w:sz w:val="16"/>
          <w:szCs w:val="20"/>
          <w:highlight w:val="white"/>
        </w:rPr>
        <w:t xml:space="preserve">, score </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 xml:space="preserve"> </w:t>
      </w:r>
      <w:r w:rsidRPr="00023053">
        <w:rPr>
          <w:rFonts w:ascii="Courier New" w:hAnsi="Courier New" w:cs="Courier New"/>
          <w:b/>
          <w:bCs/>
          <w:color w:val="000080"/>
          <w:sz w:val="16"/>
          <w:szCs w:val="20"/>
          <w:highlight w:val="white"/>
        </w:rPr>
        <w:t>(</w:t>
      </w:r>
      <w:proofErr w:type="spellStart"/>
      <w:r w:rsidRPr="00023053">
        <w:rPr>
          <w:rFonts w:ascii="Courier New" w:hAnsi="Courier New" w:cs="Courier New"/>
          <w:color w:val="000000"/>
          <w:sz w:val="16"/>
          <w:szCs w:val="20"/>
          <w:highlight w:val="white"/>
        </w:rPr>
        <w:t>log.population</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log.superficie</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UE</w:t>
      </w:r>
      <w:r w:rsidRPr="00023053">
        <w:rPr>
          <w:rFonts w:ascii="Courier New" w:hAnsi="Courier New" w:cs="Courier New"/>
          <w:b/>
          <w:bCs/>
          <w:color w:val="000080"/>
          <w:sz w:val="16"/>
          <w:szCs w:val="20"/>
          <w:highlight w:val="white"/>
        </w:rPr>
        <w:t>+</w:t>
      </w:r>
      <w:r w:rsidRPr="00023053">
        <w:rPr>
          <w:rFonts w:ascii="Courier New" w:hAnsi="Courier New" w:cs="Courier New"/>
          <w:color w:val="000000"/>
          <w:sz w:val="16"/>
          <w:szCs w:val="20"/>
          <w:highlight w:val="white"/>
        </w:rPr>
        <w:t>euro</w:t>
      </w:r>
      <w:proofErr w:type="spellEnd"/>
      <w:r w:rsidRPr="00023053">
        <w:rPr>
          <w:rFonts w:ascii="Courier New" w:hAnsi="Courier New" w:cs="Courier New"/>
          <w:b/>
          <w:bCs/>
          <w:color w:val="000080"/>
          <w:sz w:val="16"/>
          <w:szCs w:val="20"/>
          <w:highlight w:val="white"/>
        </w:rPr>
        <w:t>)^</w:t>
      </w:r>
      <w:r w:rsidRPr="00023053">
        <w:rPr>
          <w:rFonts w:ascii="Courier New" w:hAnsi="Courier New" w:cs="Courier New"/>
          <w:color w:val="FF8000"/>
          <w:sz w:val="16"/>
          <w:szCs w:val="20"/>
          <w:highlight w:val="white"/>
        </w:rPr>
        <w:t>2</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roofErr w:type="spellStart"/>
      <w:proofErr w:type="gramStart"/>
      <w:r w:rsidRPr="00023053">
        <w:rPr>
          <w:rFonts w:ascii="Courier New" w:hAnsi="Courier New" w:cs="Courier New"/>
          <w:color w:val="8000FF"/>
          <w:sz w:val="16"/>
          <w:szCs w:val="20"/>
          <w:highlight w:val="white"/>
        </w:rPr>
        <w:t>summary</w:t>
      </w:r>
      <w:proofErr w:type="spellEnd"/>
      <w:r w:rsidRPr="00023053">
        <w:rPr>
          <w:rFonts w:ascii="Courier New" w:hAnsi="Courier New" w:cs="Courier New"/>
          <w:b/>
          <w:bCs/>
          <w:color w:val="000080"/>
          <w:sz w:val="16"/>
          <w:szCs w:val="20"/>
          <w:highlight w:val="white"/>
        </w:rPr>
        <w:t>(</w:t>
      </w:r>
      <w:proofErr w:type="gramEnd"/>
      <w:r w:rsidRPr="00023053">
        <w:rPr>
          <w:rFonts w:ascii="Courier New" w:hAnsi="Courier New" w:cs="Courier New"/>
          <w:color w:val="000000"/>
          <w:sz w:val="16"/>
          <w:szCs w:val="20"/>
          <w:highlight w:val="white"/>
        </w:rPr>
        <w:t>fit</w:t>
      </w:r>
      <w:r w:rsidRPr="00023053">
        <w:rPr>
          <w:rFonts w:ascii="Courier New" w:hAnsi="Courier New" w:cs="Courier New"/>
          <w:b/>
          <w:bCs/>
          <w:color w:val="000080"/>
          <w:sz w:val="16"/>
          <w:szCs w:val="20"/>
          <w:highlight w:val="white"/>
        </w:rPr>
        <w:t>)</w:t>
      </w: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p>
    <w:p w:rsidR="00023053" w:rsidRPr="00023053" w:rsidRDefault="00023053" w:rsidP="00023053">
      <w:pPr>
        <w:autoSpaceDE w:val="0"/>
        <w:autoSpaceDN w:val="0"/>
        <w:adjustRightInd w:val="0"/>
        <w:spacing w:after="0" w:line="240" w:lineRule="auto"/>
        <w:rPr>
          <w:rFonts w:ascii="Courier New" w:hAnsi="Courier New" w:cs="Courier New"/>
          <w:color w:val="000000"/>
          <w:sz w:val="16"/>
          <w:szCs w:val="20"/>
          <w:highlight w:val="white"/>
        </w:rPr>
      </w:pPr>
      <w:r w:rsidRPr="00023053">
        <w:rPr>
          <w:rFonts w:ascii="Courier New" w:hAnsi="Courier New" w:cs="Courier New"/>
          <w:color w:val="008000"/>
          <w:sz w:val="16"/>
          <w:szCs w:val="20"/>
          <w:highlight w:val="white"/>
        </w:rPr>
        <w:t>################</w:t>
      </w:r>
    </w:p>
    <w:p w:rsidR="00B00F45" w:rsidRPr="00023053" w:rsidRDefault="00023053" w:rsidP="00023053">
      <w:pPr>
        <w:jc w:val="both"/>
        <w:rPr>
          <w:sz w:val="18"/>
        </w:rPr>
      </w:pPr>
      <w:r w:rsidRPr="00023053">
        <w:rPr>
          <w:rFonts w:ascii="Courier New" w:hAnsi="Courier New" w:cs="Courier New"/>
          <w:color w:val="008000"/>
          <w:sz w:val="16"/>
          <w:szCs w:val="20"/>
          <w:highlight w:val="white"/>
        </w:rPr>
        <w:t># FIN</w:t>
      </w:r>
    </w:p>
    <w:sectPr w:rsidR="00B00F45" w:rsidRPr="00023053" w:rsidSect="001E6580">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750" w:rsidRDefault="00756750" w:rsidP="001E6580">
      <w:pPr>
        <w:spacing w:after="0" w:line="240" w:lineRule="auto"/>
      </w:pPr>
      <w:r>
        <w:separator/>
      </w:r>
    </w:p>
  </w:endnote>
  <w:endnote w:type="continuationSeparator" w:id="0">
    <w:p w:rsidR="00756750" w:rsidRDefault="00756750" w:rsidP="001E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750" w:rsidRDefault="00756750" w:rsidP="001E6580">
      <w:pPr>
        <w:spacing w:after="0" w:line="240" w:lineRule="auto"/>
      </w:pPr>
      <w:r>
        <w:separator/>
      </w:r>
    </w:p>
  </w:footnote>
  <w:footnote w:type="continuationSeparator" w:id="0">
    <w:p w:rsidR="00756750" w:rsidRDefault="00756750" w:rsidP="001E65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B39E0"/>
    <w:multiLevelType w:val="hybridMultilevel"/>
    <w:tmpl w:val="F22E8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744D1D"/>
    <w:multiLevelType w:val="hybridMultilevel"/>
    <w:tmpl w:val="42FC3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07"/>
    <w:rsid w:val="000036DE"/>
    <w:rsid w:val="0000452B"/>
    <w:rsid w:val="00023053"/>
    <w:rsid w:val="000303F2"/>
    <w:rsid w:val="000D4736"/>
    <w:rsid w:val="001049CB"/>
    <w:rsid w:val="0011356B"/>
    <w:rsid w:val="001466F7"/>
    <w:rsid w:val="00183DD6"/>
    <w:rsid w:val="0018679F"/>
    <w:rsid w:val="00194C20"/>
    <w:rsid w:val="001E6580"/>
    <w:rsid w:val="00214CC3"/>
    <w:rsid w:val="00274C6C"/>
    <w:rsid w:val="002B5D4D"/>
    <w:rsid w:val="0033001F"/>
    <w:rsid w:val="0035380E"/>
    <w:rsid w:val="003A39FC"/>
    <w:rsid w:val="003A3D06"/>
    <w:rsid w:val="003B4498"/>
    <w:rsid w:val="003B7AA6"/>
    <w:rsid w:val="003B7ABC"/>
    <w:rsid w:val="003C2707"/>
    <w:rsid w:val="003F4F5F"/>
    <w:rsid w:val="004477E7"/>
    <w:rsid w:val="004512E5"/>
    <w:rsid w:val="0045511D"/>
    <w:rsid w:val="004B7B47"/>
    <w:rsid w:val="004E65F1"/>
    <w:rsid w:val="00505D04"/>
    <w:rsid w:val="00532BB6"/>
    <w:rsid w:val="005652B6"/>
    <w:rsid w:val="005D2925"/>
    <w:rsid w:val="006279B0"/>
    <w:rsid w:val="006579C2"/>
    <w:rsid w:val="00684B5A"/>
    <w:rsid w:val="006F09B6"/>
    <w:rsid w:val="006F164A"/>
    <w:rsid w:val="00732161"/>
    <w:rsid w:val="00737619"/>
    <w:rsid w:val="0075003A"/>
    <w:rsid w:val="00753C49"/>
    <w:rsid w:val="00756750"/>
    <w:rsid w:val="00795674"/>
    <w:rsid w:val="007B307E"/>
    <w:rsid w:val="007C72D2"/>
    <w:rsid w:val="00844020"/>
    <w:rsid w:val="00846A09"/>
    <w:rsid w:val="00860E6D"/>
    <w:rsid w:val="008765E9"/>
    <w:rsid w:val="00894083"/>
    <w:rsid w:val="008C2FB6"/>
    <w:rsid w:val="00907269"/>
    <w:rsid w:val="00926590"/>
    <w:rsid w:val="009B6FFB"/>
    <w:rsid w:val="009D0E28"/>
    <w:rsid w:val="00A537FD"/>
    <w:rsid w:val="00A65B77"/>
    <w:rsid w:val="00A67DC2"/>
    <w:rsid w:val="00A9488B"/>
    <w:rsid w:val="00A958A2"/>
    <w:rsid w:val="00AC2242"/>
    <w:rsid w:val="00B00F45"/>
    <w:rsid w:val="00B3763C"/>
    <w:rsid w:val="00BF3562"/>
    <w:rsid w:val="00C02915"/>
    <w:rsid w:val="00C32E82"/>
    <w:rsid w:val="00C62F59"/>
    <w:rsid w:val="00C80EFC"/>
    <w:rsid w:val="00C822EA"/>
    <w:rsid w:val="00CB4A6C"/>
    <w:rsid w:val="00CD22AF"/>
    <w:rsid w:val="00D114A9"/>
    <w:rsid w:val="00D61382"/>
    <w:rsid w:val="00D86545"/>
    <w:rsid w:val="00DB35B3"/>
    <w:rsid w:val="00E42947"/>
    <w:rsid w:val="00EA2163"/>
    <w:rsid w:val="00EC18CD"/>
    <w:rsid w:val="00EC5613"/>
    <w:rsid w:val="00ED2BF1"/>
    <w:rsid w:val="00EF50CB"/>
    <w:rsid w:val="00F0645D"/>
    <w:rsid w:val="00F67C37"/>
    <w:rsid w:val="00F71E4D"/>
    <w:rsid w:val="00F760A5"/>
    <w:rsid w:val="00FB5CBC"/>
    <w:rsid w:val="00FC490D"/>
    <w:rsid w:val="00FE3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78594">
      <w:bodyDiv w:val="1"/>
      <w:marLeft w:val="0"/>
      <w:marRight w:val="0"/>
      <w:marTop w:val="0"/>
      <w:marBottom w:val="0"/>
      <w:divBdr>
        <w:top w:val="none" w:sz="0" w:space="0" w:color="auto"/>
        <w:left w:val="none" w:sz="0" w:space="0" w:color="auto"/>
        <w:bottom w:val="none" w:sz="0" w:space="0" w:color="auto"/>
        <w:right w:val="none" w:sz="0" w:space="0" w:color="auto"/>
      </w:divBdr>
      <w:divsChild>
        <w:div w:id="2121679410">
          <w:marLeft w:val="0"/>
          <w:marRight w:val="0"/>
          <w:marTop w:val="100"/>
          <w:marBottom w:val="100"/>
          <w:divBdr>
            <w:top w:val="none" w:sz="0" w:space="0" w:color="auto"/>
            <w:left w:val="none" w:sz="0" w:space="0" w:color="auto"/>
            <w:bottom w:val="none" w:sz="0" w:space="0" w:color="auto"/>
            <w:right w:val="none" w:sz="0" w:space="0" w:color="auto"/>
          </w:divBdr>
          <w:divsChild>
            <w:div w:id="2089225497">
              <w:marLeft w:val="0"/>
              <w:marRight w:val="0"/>
              <w:marTop w:val="0"/>
              <w:marBottom w:val="0"/>
              <w:divBdr>
                <w:top w:val="none" w:sz="0" w:space="0" w:color="auto"/>
                <w:left w:val="none" w:sz="0" w:space="0" w:color="auto"/>
                <w:bottom w:val="none" w:sz="0" w:space="0" w:color="auto"/>
                <w:right w:val="none" w:sz="0" w:space="0" w:color="auto"/>
              </w:divBdr>
              <w:divsChild>
                <w:div w:id="1326401594">
                  <w:marLeft w:val="0"/>
                  <w:marRight w:val="0"/>
                  <w:marTop w:val="0"/>
                  <w:marBottom w:val="0"/>
                  <w:divBdr>
                    <w:top w:val="single" w:sz="6" w:space="15" w:color="EBEBEB"/>
                    <w:left w:val="single" w:sz="6" w:space="15" w:color="EBEBEB"/>
                    <w:bottom w:val="single" w:sz="6" w:space="15" w:color="EBEBEB"/>
                    <w:right w:val="single" w:sz="6" w:space="8" w:color="EBEBEB"/>
                  </w:divBdr>
                </w:div>
              </w:divsChild>
            </w:div>
          </w:divsChild>
        </w:div>
      </w:divsChild>
    </w:div>
    <w:div w:id="614361999">
      <w:bodyDiv w:val="1"/>
      <w:marLeft w:val="0"/>
      <w:marRight w:val="0"/>
      <w:marTop w:val="0"/>
      <w:marBottom w:val="0"/>
      <w:divBdr>
        <w:top w:val="none" w:sz="0" w:space="0" w:color="auto"/>
        <w:left w:val="none" w:sz="0" w:space="0" w:color="auto"/>
        <w:bottom w:val="none" w:sz="0" w:space="0" w:color="auto"/>
        <w:right w:val="none" w:sz="0" w:space="0" w:color="auto"/>
      </w:divBdr>
    </w:div>
    <w:div w:id="17084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imple.wikipedia.org/wiki/List_of_countries_by_population_density" TargetMode="External"/><Relationship Id="rId18" Type="http://schemas.openxmlformats.org/officeDocument/2006/relationships/hyperlink" Target="https://simple.wikipedia.org/wiki/List_of_countries_by_population_densit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ts.stackexchange.com/a/11997/66519" TargetMode="External"/><Relationship Id="rId17" Type="http://schemas.openxmlformats.org/officeDocument/2006/relationships/hyperlink" Target="http://www.statistiques-mondiales.com/onu.htm" TargetMode="External"/><Relationship Id="rId2" Type="http://schemas.openxmlformats.org/officeDocument/2006/relationships/numbering" Target="numbering.xml"/><Relationship Id="rId16" Type="http://schemas.openxmlformats.org/officeDocument/2006/relationships/hyperlink" Target="http://www.imd.org/uupload/imd.website/wcc/scoreboard.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istiques-mondiales.com/onu.htm" TargetMode="External"/><Relationship Id="rId5" Type="http://schemas.openxmlformats.org/officeDocument/2006/relationships/settings" Target="settings.xml"/><Relationship Id="rId15" Type="http://schemas.openxmlformats.org/officeDocument/2006/relationships/hyperlink" Target="http://www.imd.org/wcc/research-methodology/" TargetMode="External"/><Relationship Id="rId10" Type="http://schemas.openxmlformats.org/officeDocument/2006/relationships/hyperlink" Target="http://www.imd.org/uupload/imd.website/wcc/scoreboard.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md.org/wcc/research-methodology/"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00BA516-034F-4CC3-99AF-494A283E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2602</Words>
  <Characters>14314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Veolia Recherche et Innovation</Company>
  <LinksUpToDate>false</LinksUpToDate>
  <CharactersWithSpaces>16883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Marc.AGENIS-NEVERS</dc:creator>
  <cp:lastModifiedBy>Marc.AGENIS-NEVERS</cp:lastModifiedBy>
  <cp:revision>72</cp:revision>
  <cp:lastPrinted>2016-07-13T22:15:00Z</cp:lastPrinted>
  <dcterms:created xsi:type="dcterms:W3CDTF">2016-06-28T09:29:00Z</dcterms:created>
  <dcterms:modified xsi:type="dcterms:W3CDTF">2016-07-13T22:15:00Z</dcterms:modified>
</cp:coreProperties>
</file>