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2"/>
      </w:tblGrid>
      <w:tr w:rsidR="001E6580" w:rsidTr="001E6580">
        <w:tc>
          <w:tcPr>
            <w:tcW w:w="6142" w:type="dxa"/>
          </w:tcPr>
          <w:p w:rsidR="001E6580" w:rsidRDefault="001E6580" w:rsidP="00F67C37">
            <w:r>
              <w:t>AGENIS-NEVERS Marc</w:t>
            </w:r>
          </w:p>
        </w:tc>
      </w:tr>
      <w:tr w:rsidR="001E6580" w:rsidTr="001E6580">
        <w:tc>
          <w:tcPr>
            <w:tcW w:w="6142" w:type="dxa"/>
          </w:tcPr>
          <w:p w:rsidR="001E6580" w:rsidRDefault="00737179">
            <w:r>
              <w:t>Publication : 15</w:t>
            </w:r>
            <w:r w:rsidR="004B2FF8">
              <w:t>/02</w:t>
            </w:r>
            <w:r w:rsidR="00CB0EC5">
              <w:t>/2017</w:t>
            </w:r>
          </w:p>
        </w:tc>
      </w:tr>
      <w:tr w:rsidR="001E6580" w:rsidTr="001E6580">
        <w:tc>
          <w:tcPr>
            <w:tcW w:w="6142" w:type="dxa"/>
          </w:tcPr>
          <w:p w:rsidR="001E6580" w:rsidRDefault="00CB0EC5">
            <w:r>
              <w:t>Version :</w:t>
            </w:r>
            <w:r w:rsidR="00792240">
              <w:t xml:space="preserve"> </w:t>
            </w:r>
            <w:r w:rsidR="00737179">
              <w:t>1.2</w:t>
            </w:r>
          </w:p>
        </w:tc>
      </w:tr>
    </w:tbl>
    <w:p w:rsidR="00C822EA" w:rsidRPr="001E6580" w:rsidRDefault="00C822EA">
      <w:pPr>
        <w:rPr>
          <w:sz w:val="10"/>
        </w:rPr>
      </w:pPr>
    </w:p>
    <w:p w:rsidR="00C822EA" w:rsidRDefault="00CB0EC5" w:rsidP="00C822EA">
      <w:pPr>
        <w:pStyle w:val="Titre"/>
      </w:pPr>
      <w:r>
        <w:t xml:space="preserve">Séries temporelles : </w:t>
      </w:r>
      <w:r w:rsidR="007C7F1C">
        <w:t>dynamique</w:t>
      </w:r>
      <w:r>
        <w:t xml:space="preserve"> d’adhésions à un parti politique</w:t>
      </w:r>
    </w:p>
    <w:p w:rsidR="00C822EA" w:rsidRDefault="00C822EA" w:rsidP="006F09B6">
      <w:pPr>
        <w:pStyle w:val="Citationintense"/>
      </w:pPr>
      <w:r>
        <w:t>Contexte</w:t>
      </w:r>
    </w:p>
    <w:p w:rsidR="00CB0EC5" w:rsidRDefault="00CB0EC5" w:rsidP="00C822EA">
      <w:pPr>
        <w:jc w:val="both"/>
      </w:pPr>
      <w:r>
        <w:t>La majorité des partis politiques français restent généralement discrets sur le</w:t>
      </w:r>
      <w:r w:rsidR="00F275BC">
        <w:t>ur</w:t>
      </w:r>
      <w:r>
        <w:t xml:space="preserve"> nombre d’adhérents. Ce n’est pas le cas toutefois de tous les partis. L’objet de cette note est d’é</w:t>
      </w:r>
      <w:r w:rsidR="00737179">
        <w:t>tudier en détail l’</w:t>
      </w:r>
      <w:r>
        <w:t>évolution du nombre d’adhérents quotidien d’un mouvement qui a accepté de donner accès à sa base d’adhérents depuis sa création. Il s’agit de l’U.P.R. (Union Populaire Rép</w:t>
      </w:r>
      <w:r w:rsidR="00E75723">
        <w:t>ublicaine), fondé</w:t>
      </w:r>
      <w:r w:rsidR="00F275BC">
        <w:t>e</w:t>
      </w:r>
      <w:r w:rsidR="00E75723">
        <w:t xml:space="preserve"> le 25 mars 200</w:t>
      </w:r>
      <w:r>
        <w:t>7</w:t>
      </w:r>
      <w:r w:rsidR="0002351C">
        <w:t>.</w:t>
      </w:r>
    </w:p>
    <w:p w:rsidR="00CB0EC5" w:rsidRDefault="00CB0EC5" w:rsidP="00CB0EC5">
      <w:pPr>
        <w:pStyle w:val="Citationintense"/>
      </w:pPr>
      <w:r>
        <w:t>Méthodologie</w:t>
      </w:r>
    </w:p>
    <w:p w:rsidR="006E2C76" w:rsidRDefault="006E2C76" w:rsidP="006E2C76">
      <w:pPr>
        <w:pStyle w:val="Sous-titre"/>
      </w:pPr>
      <w:r>
        <w:t>Obtention des données</w:t>
      </w:r>
    </w:p>
    <w:p w:rsidR="00CB0EC5" w:rsidRDefault="006E2C76" w:rsidP="00C822EA">
      <w:pPr>
        <w:jc w:val="both"/>
      </w:pPr>
      <w:r>
        <w:t xml:space="preserve">Les données nous ont été envoyées après une demande </w:t>
      </w:r>
      <w:r w:rsidR="0098692C">
        <w:t xml:space="preserve">de </w:t>
      </w:r>
      <w:r>
        <w:t xml:space="preserve">contact par internet ; </w:t>
      </w:r>
      <w:r w:rsidR="0098692C">
        <w:t>l</w:t>
      </w:r>
      <w:r>
        <w:t>a donnée reçue est la comb</w:t>
      </w:r>
      <w:r w:rsidR="006356BC">
        <w:t>inaison de deux phénomènes</w:t>
      </w:r>
      <w:r w:rsidR="0098692C">
        <w:t xml:space="preserve"> (adhésions et radiations)</w:t>
      </w:r>
      <w:r w:rsidR="006356BC">
        <w:t xml:space="preserve">, et </w:t>
      </w:r>
      <w:r w:rsidR="00F275BC">
        <w:t>agrège</w:t>
      </w:r>
      <w:r w:rsidR="006356BC">
        <w:t xml:space="preserve"> à la fois les adhésions par carte bleue (heure exacte) et par chèque (comptabilisées à réception</w:t>
      </w:r>
      <w:r w:rsidR="00F275BC">
        <w:t xml:space="preserve"> ou quelques heures plus tard</w:t>
      </w:r>
      <w:r w:rsidR="006356BC">
        <w:t>), ces dernières ne représent</w:t>
      </w:r>
      <w:r w:rsidR="00F275BC">
        <w:t>a</w:t>
      </w:r>
      <w:r w:rsidR="006356BC">
        <w:t xml:space="preserve">nt pas plus de 10% du total. </w:t>
      </w:r>
      <w:r w:rsidR="0098692C">
        <w:t>L’idéal aurait été de pouvoir accéder à deux séries temporelles différentes : celle des adhésions et celle des radiations (les statuts précisent qu’une radiation intervient 3 ans après la dernière cotisation ou sur demande écrite de l’adhérent), on fera néanmoins l’hypothèse que les radiations sont faibles devant les adhésions, et stables dans le temps.</w:t>
      </w:r>
    </w:p>
    <w:p w:rsidR="001E20FC" w:rsidRDefault="004B1FB8" w:rsidP="00C822EA">
      <w:pPr>
        <w:jc w:val="both"/>
      </w:pPr>
      <w:r>
        <w:t>Par ailleurs nous disposons d’un échantillon de</w:t>
      </w:r>
      <w:r w:rsidR="001E20FC">
        <w:t xml:space="preserve"> données à pas de temps plus précis (</w:t>
      </w:r>
      <w:r w:rsidR="001E20FC" w:rsidRPr="001858EF">
        <w:rPr>
          <w:b/>
        </w:rPr>
        <w:t>horaire</w:t>
      </w:r>
      <w:r w:rsidR="001E20FC">
        <w:t>) qui sont collectées directement à partir d</w:t>
      </w:r>
      <w:r>
        <w:t>u compteur public d</w:t>
      </w:r>
      <w:r w:rsidR="001E20FC">
        <w:t>u site internet</w:t>
      </w:r>
      <w:r>
        <w:t xml:space="preserve">, </w:t>
      </w:r>
      <w:r w:rsidR="001E20FC">
        <w:t>permettant d’analyser la dynamique au sein d’une même journée.</w:t>
      </w:r>
    </w:p>
    <w:p w:rsidR="008F3C19" w:rsidRDefault="008F3C19" w:rsidP="008F3C19">
      <w:pPr>
        <w:pStyle w:val="Sous-titre"/>
      </w:pPr>
      <w:r>
        <w:t>Description des données</w:t>
      </w:r>
      <w:r w:rsidR="00053743">
        <w:t>, corrections</w:t>
      </w:r>
    </w:p>
    <w:p w:rsidR="00CB0EC5" w:rsidRDefault="008F3C19" w:rsidP="00C822EA">
      <w:pPr>
        <w:jc w:val="both"/>
      </w:pPr>
      <w:r>
        <w:t xml:space="preserve">La donnée </w:t>
      </w:r>
      <w:r w:rsidR="001E20FC">
        <w:t xml:space="preserve">journalière </w:t>
      </w:r>
      <w:r>
        <w:t xml:space="preserve">est structurée en deux variables : un </w:t>
      </w:r>
      <w:r w:rsidR="00A40E23" w:rsidRPr="00A40E23">
        <w:t>horodatage</w:t>
      </w:r>
      <w:r>
        <w:t xml:space="preserve"> au format JJ-MM-AAAA et un numérique de cumul du nombre d’adhérents chaque jour à 23:00:00. Nous ajoutons alors une variable « </w:t>
      </w:r>
      <w:r w:rsidR="004B2FF8">
        <w:t>a</w:t>
      </w:r>
      <w:r w:rsidR="004B1FB8">
        <w:t>dhérents</w:t>
      </w:r>
      <w:r>
        <w:t xml:space="preserve"> » </w:t>
      </w:r>
      <w:r w:rsidR="00A40E23">
        <w:t xml:space="preserve">calculée </w:t>
      </w:r>
      <w:r>
        <w:t>comme la différence entre le cumul des jours J et J-1</w:t>
      </w:r>
      <w:r w:rsidR="00E75723">
        <w:t xml:space="preserve"> (et par convention nulle au premier jour)</w:t>
      </w:r>
      <w:r>
        <w:t>, ainsi que des variables calendaires descriptives (jour, semaine, mois, etc.).</w:t>
      </w:r>
      <w:r w:rsidR="00842B1D">
        <w:t xml:space="preserve"> Le très faible nombre de journées négatives </w:t>
      </w:r>
      <w:r w:rsidR="0098692C">
        <w:t xml:space="preserve">semble </w:t>
      </w:r>
      <w:r w:rsidR="00842B1D">
        <w:t>valide</w:t>
      </w:r>
      <w:r w:rsidR="0098692C">
        <w:t>r l’</w:t>
      </w:r>
      <w:r w:rsidR="00842B1D">
        <w:t xml:space="preserve">hypothèse de radiations faibles et stables. </w:t>
      </w:r>
    </w:p>
    <w:p w:rsidR="008F3C19" w:rsidRDefault="008F3C19" w:rsidP="008F3C19">
      <w:pPr>
        <w:pStyle w:val="Lgende"/>
        <w:keepNext/>
        <w:jc w:val="center"/>
      </w:pPr>
      <w:r>
        <w:t xml:space="preserve">Tableau </w:t>
      </w:r>
      <w:r w:rsidR="001C3E85">
        <w:fldChar w:fldCharType="begin"/>
      </w:r>
      <w:r w:rsidR="001C3E85">
        <w:instrText xml:space="preserve"> SEQ Tableau \* ARABIC </w:instrText>
      </w:r>
      <w:r w:rsidR="001C3E85">
        <w:fldChar w:fldCharType="separate"/>
      </w:r>
      <w:r w:rsidR="001C3E85">
        <w:rPr>
          <w:noProof/>
        </w:rPr>
        <w:t>1</w:t>
      </w:r>
      <w:r w:rsidR="001C3E85">
        <w:rPr>
          <w:noProof/>
        </w:rPr>
        <w:fldChar w:fldCharType="end"/>
      </w:r>
      <w:r>
        <w:t xml:space="preserve">: </w:t>
      </w:r>
      <w:r w:rsidR="00411766">
        <w:t>Résumé</w:t>
      </w:r>
      <w:r>
        <w:t xml:space="preserve"> des variables</w:t>
      </w:r>
      <w:r w:rsidR="001E20FC">
        <w:t>, donnée journalière</w:t>
      </w:r>
    </w:p>
    <w:tbl>
      <w:tblPr>
        <w:tblStyle w:val="Tableauliste3"/>
        <w:tblW w:w="0" w:type="auto"/>
        <w:jc w:val="center"/>
        <w:tblLook w:val="04A0" w:firstRow="1" w:lastRow="0" w:firstColumn="1" w:lastColumn="0" w:noHBand="0" w:noVBand="1"/>
      </w:tblPr>
      <w:tblGrid>
        <w:gridCol w:w="1842"/>
        <w:gridCol w:w="1842"/>
        <w:gridCol w:w="1842"/>
        <w:gridCol w:w="1842"/>
      </w:tblGrid>
      <w:tr w:rsidR="008F3C19" w:rsidTr="008F3C1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42" w:type="dxa"/>
          </w:tcPr>
          <w:p w:rsidR="008F3C19" w:rsidRDefault="008F3C19" w:rsidP="008F3C19">
            <w:pPr>
              <w:pStyle w:val="Sansinterligne"/>
            </w:pPr>
          </w:p>
        </w:tc>
        <w:tc>
          <w:tcPr>
            <w:tcW w:w="1842" w:type="dxa"/>
          </w:tcPr>
          <w:p w:rsidR="008F3C19" w:rsidRDefault="008F3C19" w:rsidP="008F3C19">
            <w:pPr>
              <w:pStyle w:val="Sansinterligne"/>
              <w:jc w:val="center"/>
              <w:cnfStyle w:val="100000000000" w:firstRow="1" w:lastRow="0" w:firstColumn="0" w:lastColumn="0" w:oddVBand="0" w:evenVBand="0" w:oddHBand="0" w:evenHBand="0" w:firstRowFirstColumn="0" w:firstRowLastColumn="0" w:lastRowFirstColumn="0" w:lastRowLastColumn="0"/>
            </w:pPr>
            <w:r>
              <w:t>Date</w:t>
            </w:r>
          </w:p>
        </w:tc>
        <w:tc>
          <w:tcPr>
            <w:tcW w:w="1842" w:type="dxa"/>
          </w:tcPr>
          <w:p w:rsidR="008F3C19" w:rsidRDefault="008F3C19" w:rsidP="008F3C19">
            <w:pPr>
              <w:pStyle w:val="Sansinterligne"/>
              <w:jc w:val="center"/>
              <w:cnfStyle w:val="100000000000" w:firstRow="1" w:lastRow="0" w:firstColumn="0" w:lastColumn="0" w:oddVBand="0" w:evenVBand="0" w:oddHBand="0" w:evenHBand="0" w:firstRowFirstColumn="0" w:firstRowLastColumn="0" w:lastRowFirstColumn="0" w:lastRowLastColumn="0"/>
            </w:pPr>
            <w:r>
              <w:t>Cumul</w:t>
            </w:r>
          </w:p>
        </w:tc>
        <w:tc>
          <w:tcPr>
            <w:tcW w:w="1842" w:type="dxa"/>
          </w:tcPr>
          <w:p w:rsidR="008F3C19" w:rsidRDefault="004B1FB8" w:rsidP="008F3C19">
            <w:pPr>
              <w:pStyle w:val="Sansinterligne"/>
              <w:jc w:val="center"/>
              <w:cnfStyle w:val="100000000000" w:firstRow="1" w:lastRow="0" w:firstColumn="0" w:lastColumn="0" w:oddVBand="0" w:evenVBand="0" w:oddHBand="0" w:evenHBand="0" w:firstRowFirstColumn="0" w:firstRowLastColumn="0" w:lastRowFirstColumn="0" w:lastRowLastColumn="0"/>
            </w:pPr>
            <w:r>
              <w:t>Adhérents</w:t>
            </w:r>
          </w:p>
        </w:tc>
      </w:tr>
      <w:tr w:rsidR="008F3C19" w:rsidTr="008F3C19">
        <w:trPr>
          <w:jc w:val="center"/>
        </w:trPr>
        <w:tc>
          <w:tcPr>
            <w:cnfStyle w:val="001000000000" w:firstRow="0" w:lastRow="0" w:firstColumn="1" w:lastColumn="0" w:oddVBand="0" w:evenVBand="0" w:oddHBand="0" w:evenHBand="0" w:firstRowFirstColumn="0" w:firstRowLastColumn="0" w:lastRowFirstColumn="0" w:lastRowLastColumn="0"/>
            <w:tcW w:w="1842" w:type="dxa"/>
          </w:tcPr>
          <w:p w:rsidR="008F3C19" w:rsidRDefault="008F3C19" w:rsidP="008F3C19">
            <w:pPr>
              <w:pStyle w:val="Sansinterligne"/>
            </w:pPr>
            <w:r>
              <w:t>Min</w:t>
            </w:r>
          </w:p>
        </w:tc>
        <w:tc>
          <w:tcPr>
            <w:tcW w:w="1842" w:type="dxa"/>
          </w:tcPr>
          <w:p w:rsidR="008F3C19" w:rsidRDefault="008F3C19" w:rsidP="008F3C19">
            <w:pPr>
              <w:pStyle w:val="Sansinterligne"/>
              <w:jc w:val="center"/>
              <w:cnfStyle w:val="000000000000" w:firstRow="0" w:lastRow="0" w:firstColumn="0" w:lastColumn="0" w:oddVBand="0" w:evenVBand="0" w:oddHBand="0" w:evenHBand="0" w:firstRowFirstColumn="0" w:firstRowLastColumn="0" w:lastRowFirstColumn="0" w:lastRowLastColumn="0"/>
            </w:pPr>
            <w:r>
              <w:t>25-03-2007</w:t>
            </w:r>
          </w:p>
        </w:tc>
        <w:tc>
          <w:tcPr>
            <w:tcW w:w="1842" w:type="dxa"/>
          </w:tcPr>
          <w:p w:rsidR="008F3C19" w:rsidRDefault="008F3C19" w:rsidP="008F3C19">
            <w:pPr>
              <w:pStyle w:val="Sansinterligne"/>
              <w:jc w:val="center"/>
              <w:cnfStyle w:val="000000000000" w:firstRow="0" w:lastRow="0" w:firstColumn="0" w:lastColumn="0" w:oddVBand="0" w:evenVBand="0" w:oddHBand="0" w:evenHBand="0" w:firstRowFirstColumn="0" w:firstRowLastColumn="0" w:lastRowFirstColumn="0" w:lastRowLastColumn="0"/>
            </w:pPr>
            <w:r>
              <w:t>28</w:t>
            </w:r>
          </w:p>
        </w:tc>
        <w:tc>
          <w:tcPr>
            <w:tcW w:w="1842" w:type="dxa"/>
          </w:tcPr>
          <w:p w:rsidR="008F3C19" w:rsidRDefault="008F3C19" w:rsidP="008F3C19">
            <w:pPr>
              <w:pStyle w:val="Sansinterligne"/>
              <w:jc w:val="center"/>
              <w:cnfStyle w:val="000000000000" w:firstRow="0" w:lastRow="0" w:firstColumn="0" w:lastColumn="0" w:oddVBand="0" w:evenVBand="0" w:oddHBand="0" w:evenHBand="0" w:firstRowFirstColumn="0" w:firstRowLastColumn="0" w:lastRowFirstColumn="0" w:lastRowLastColumn="0"/>
            </w:pPr>
            <w:r>
              <w:t>-1</w:t>
            </w:r>
          </w:p>
        </w:tc>
      </w:tr>
      <w:tr w:rsidR="008F3C19" w:rsidTr="008F3C19">
        <w:trPr>
          <w:jc w:val="center"/>
        </w:trPr>
        <w:tc>
          <w:tcPr>
            <w:cnfStyle w:val="001000000000" w:firstRow="0" w:lastRow="0" w:firstColumn="1" w:lastColumn="0" w:oddVBand="0" w:evenVBand="0" w:oddHBand="0" w:evenHBand="0" w:firstRowFirstColumn="0" w:firstRowLastColumn="0" w:lastRowFirstColumn="0" w:lastRowLastColumn="0"/>
            <w:tcW w:w="1842" w:type="dxa"/>
          </w:tcPr>
          <w:p w:rsidR="008F3C19" w:rsidRDefault="008F3C19" w:rsidP="008F3C19">
            <w:pPr>
              <w:pStyle w:val="Sansinterligne"/>
            </w:pPr>
            <w:r>
              <w:t>Max</w:t>
            </w:r>
          </w:p>
        </w:tc>
        <w:tc>
          <w:tcPr>
            <w:tcW w:w="1842" w:type="dxa"/>
          </w:tcPr>
          <w:p w:rsidR="008F3C19" w:rsidRDefault="005B39E2" w:rsidP="008F3C19">
            <w:pPr>
              <w:pStyle w:val="Sansinterligne"/>
              <w:jc w:val="center"/>
              <w:cnfStyle w:val="000000000000" w:firstRow="0" w:lastRow="0" w:firstColumn="0" w:lastColumn="0" w:oddVBand="0" w:evenVBand="0" w:oddHBand="0" w:evenHBand="0" w:firstRowFirstColumn="0" w:firstRowLastColumn="0" w:lastRowFirstColumn="0" w:lastRowLastColumn="0"/>
            </w:pPr>
            <w:r>
              <w:t>30</w:t>
            </w:r>
            <w:r w:rsidR="004B2FF8">
              <w:t>-01-2017</w:t>
            </w:r>
          </w:p>
        </w:tc>
        <w:tc>
          <w:tcPr>
            <w:tcW w:w="1842" w:type="dxa"/>
          </w:tcPr>
          <w:p w:rsidR="008F3C19" w:rsidRDefault="001435AA" w:rsidP="008F3C19">
            <w:pPr>
              <w:pStyle w:val="Sansinterligne"/>
              <w:jc w:val="center"/>
              <w:cnfStyle w:val="000000000000" w:firstRow="0" w:lastRow="0" w:firstColumn="0" w:lastColumn="0" w:oddVBand="0" w:evenVBand="0" w:oddHBand="0" w:evenHBand="0" w:firstRowFirstColumn="0" w:firstRowLastColumn="0" w:lastRowFirstColumn="0" w:lastRowLastColumn="0"/>
            </w:pPr>
            <w:r>
              <w:t>15359</w:t>
            </w:r>
          </w:p>
        </w:tc>
        <w:tc>
          <w:tcPr>
            <w:tcW w:w="1842" w:type="dxa"/>
          </w:tcPr>
          <w:p w:rsidR="008F3C19" w:rsidRDefault="008F3C19" w:rsidP="008F3C19">
            <w:pPr>
              <w:pStyle w:val="Sansinterligne"/>
              <w:jc w:val="center"/>
              <w:cnfStyle w:val="000000000000" w:firstRow="0" w:lastRow="0" w:firstColumn="0" w:lastColumn="0" w:oddVBand="0" w:evenVBand="0" w:oddHBand="0" w:evenHBand="0" w:firstRowFirstColumn="0" w:firstRowLastColumn="0" w:lastRowFirstColumn="0" w:lastRowLastColumn="0"/>
            </w:pPr>
            <w:r>
              <w:t>114</w:t>
            </w:r>
          </w:p>
        </w:tc>
      </w:tr>
      <w:tr w:rsidR="008F3C19" w:rsidTr="008F3C19">
        <w:trPr>
          <w:jc w:val="center"/>
        </w:trPr>
        <w:tc>
          <w:tcPr>
            <w:cnfStyle w:val="001000000000" w:firstRow="0" w:lastRow="0" w:firstColumn="1" w:lastColumn="0" w:oddVBand="0" w:evenVBand="0" w:oddHBand="0" w:evenHBand="0" w:firstRowFirstColumn="0" w:firstRowLastColumn="0" w:lastRowFirstColumn="0" w:lastRowLastColumn="0"/>
            <w:tcW w:w="1842" w:type="dxa"/>
          </w:tcPr>
          <w:p w:rsidR="008F3C19" w:rsidRDefault="008F3C19" w:rsidP="008F3C19">
            <w:pPr>
              <w:pStyle w:val="Sansinterligne"/>
            </w:pPr>
            <w:r>
              <w:t>N</w:t>
            </w:r>
          </w:p>
        </w:tc>
        <w:tc>
          <w:tcPr>
            <w:tcW w:w="5526" w:type="dxa"/>
            <w:gridSpan w:val="3"/>
          </w:tcPr>
          <w:p w:rsidR="008F3C19" w:rsidRDefault="004B2FF8" w:rsidP="008F3C19">
            <w:pPr>
              <w:pStyle w:val="Sansinterligne"/>
              <w:jc w:val="center"/>
              <w:cnfStyle w:val="000000000000" w:firstRow="0" w:lastRow="0" w:firstColumn="0" w:lastColumn="0" w:oddVBand="0" w:evenVBand="0" w:oddHBand="0" w:evenHBand="0" w:firstRowFirstColumn="0" w:firstRowLastColumn="0" w:lastRowFirstColumn="0" w:lastRowLastColumn="0"/>
            </w:pPr>
            <w:r>
              <w:t>3600</w:t>
            </w:r>
          </w:p>
        </w:tc>
      </w:tr>
      <w:tr w:rsidR="008F3C19" w:rsidTr="008F3C19">
        <w:trPr>
          <w:jc w:val="center"/>
        </w:trPr>
        <w:tc>
          <w:tcPr>
            <w:cnfStyle w:val="001000000000" w:firstRow="0" w:lastRow="0" w:firstColumn="1" w:lastColumn="0" w:oddVBand="0" w:evenVBand="0" w:oddHBand="0" w:evenHBand="0" w:firstRowFirstColumn="0" w:firstRowLastColumn="0" w:lastRowFirstColumn="0" w:lastRowLastColumn="0"/>
            <w:tcW w:w="1842" w:type="dxa"/>
          </w:tcPr>
          <w:p w:rsidR="008F3C19" w:rsidRDefault="008F3C19" w:rsidP="008F3C19">
            <w:pPr>
              <w:pStyle w:val="Sansinterligne"/>
            </w:pPr>
            <w:r>
              <w:t>Manquants</w:t>
            </w:r>
          </w:p>
        </w:tc>
        <w:tc>
          <w:tcPr>
            <w:tcW w:w="5526" w:type="dxa"/>
            <w:gridSpan w:val="3"/>
          </w:tcPr>
          <w:p w:rsidR="008F3C19" w:rsidRDefault="008F3C19" w:rsidP="008F3C19">
            <w:pPr>
              <w:pStyle w:val="Sansinterligne"/>
              <w:jc w:val="center"/>
              <w:cnfStyle w:val="000000000000" w:firstRow="0" w:lastRow="0" w:firstColumn="0" w:lastColumn="0" w:oddVBand="0" w:evenVBand="0" w:oddHBand="0" w:evenHBand="0" w:firstRowFirstColumn="0" w:firstRowLastColumn="0" w:lastRowFirstColumn="0" w:lastRowLastColumn="0"/>
            </w:pPr>
            <w:r>
              <w:t>1</w:t>
            </w:r>
          </w:p>
        </w:tc>
      </w:tr>
    </w:tbl>
    <w:p w:rsidR="008F3C19" w:rsidRPr="00E75723" w:rsidRDefault="008F3C19" w:rsidP="008F3C19">
      <w:pPr>
        <w:jc w:val="both"/>
        <w:rPr>
          <w:sz w:val="2"/>
        </w:rPr>
      </w:pPr>
    </w:p>
    <w:p w:rsidR="001E20FC" w:rsidRDefault="001E20FC" w:rsidP="008F3C19">
      <w:pPr>
        <w:jc w:val="both"/>
      </w:pPr>
    </w:p>
    <w:p w:rsidR="001E20FC" w:rsidRDefault="001E20FC" w:rsidP="008F3C19">
      <w:pPr>
        <w:jc w:val="both"/>
      </w:pPr>
    </w:p>
    <w:p w:rsidR="008F3C19" w:rsidRDefault="008F3C19" w:rsidP="008F3C19">
      <w:pPr>
        <w:jc w:val="both"/>
      </w:pPr>
      <w:r>
        <w:t>La donnée</w:t>
      </w:r>
      <w:r w:rsidR="001E20FC">
        <w:t xml:space="preserve"> journalière</w:t>
      </w:r>
      <w:r>
        <w:t xml:space="preserve"> est continue dans le temps à l’exception d’une seule date </w:t>
      </w:r>
      <w:r w:rsidR="00E75723">
        <w:t>manquante</w:t>
      </w:r>
      <w:r>
        <w:t xml:space="preserve"> (17-09-2014) dont le</w:t>
      </w:r>
      <w:r w:rsidR="00A40E23">
        <w:t xml:space="preserve">s adhésions ont été réparties </w:t>
      </w:r>
      <w:r>
        <w:t>équitablement entre celles de la veille et du lendemain.</w:t>
      </w:r>
      <w:r w:rsidR="00053743">
        <w:t xml:space="preserve"> Trois dates seulement présentent un </w:t>
      </w:r>
      <w:r w:rsidR="00B75562">
        <w:t>nombre d’adhésions</w:t>
      </w:r>
      <w:r w:rsidR="00053743">
        <w:t xml:space="preserve"> négatif (-1) qui a été corrigé à zéro pour faciliter la mise en œuvre des algorithmes. Ces corrections peuvent être considérées comme mineures. </w:t>
      </w:r>
    </w:p>
    <w:p w:rsidR="0098692C" w:rsidRDefault="0098692C" w:rsidP="0098692C">
      <w:pPr>
        <w:pStyle w:val="Lgende"/>
        <w:keepNext/>
        <w:jc w:val="center"/>
      </w:pPr>
      <w:bookmarkStart w:id="0" w:name="_Ref474512792"/>
      <w:r>
        <w:t xml:space="preserve">Tableau </w:t>
      </w:r>
      <w:r w:rsidR="001C3E85">
        <w:fldChar w:fldCharType="begin"/>
      </w:r>
      <w:r w:rsidR="001C3E85">
        <w:instrText xml:space="preserve"> SEQ Tableau \* ARABIC </w:instrText>
      </w:r>
      <w:r w:rsidR="001C3E85">
        <w:fldChar w:fldCharType="separate"/>
      </w:r>
      <w:r w:rsidR="001C3E85">
        <w:rPr>
          <w:noProof/>
        </w:rPr>
        <w:t>2</w:t>
      </w:r>
      <w:r w:rsidR="001C3E85">
        <w:rPr>
          <w:noProof/>
        </w:rPr>
        <w:fldChar w:fldCharType="end"/>
      </w:r>
      <w:bookmarkEnd w:id="0"/>
      <w:r>
        <w:t>: Résumé des variables, donnée horaire</w:t>
      </w:r>
    </w:p>
    <w:tbl>
      <w:tblPr>
        <w:tblStyle w:val="Tableauliste3"/>
        <w:tblW w:w="0" w:type="auto"/>
        <w:jc w:val="center"/>
        <w:tblLook w:val="04A0" w:firstRow="1" w:lastRow="0" w:firstColumn="1" w:lastColumn="0" w:noHBand="0" w:noVBand="1"/>
      </w:tblPr>
      <w:tblGrid>
        <w:gridCol w:w="1842"/>
        <w:gridCol w:w="1842"/>
        <w:gridCol w:w="1842"/>
        <w:gridCol w:w="1842"/>
      </w:tblGrid>
      <w:tr w:rsidR="0098692C" w:rsidTr="0098692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42" w:type="dxa"/>
          </w:tcPr>
          <w:p w:rsidR="0098692C" w:rsidRDefault="0098692C" w:rsidP="0098692C">
            <w:pPr>
              <w:pStyle w:val="Sansinterligne"/>
            </w:pPr>
          </w:p>
        </w:tc>
        <w:tc>
          <w:tcPr>
            <w:tcW w:w="1842" w:type="dxa"/>
          </w:tcPr>
          <w:p w:rsidR="0098692C" w:rsidRDefault="0098692C" w:rsidP="0098692C">
            <w:pPr>
              <w:pStyle w:val="Sansinterligne"/>
              <w:jc w:val="center"/>
              <w:cnfStyle w:val="100000000000" w:firstRow="1" w:lastRow="0" w:firstColumn="0" w:lastColumn="0" w:oddVBand="0" w:evenVBand="0" w:oddHBand="0" w:evenHBand="0" w:firstRowFirstColumn="0" w:firstRowLastColumn="0" w:lastRowFirstColumn="0" w:lastRowLastColumn="0"/>
            </w:pPr>
            <w:r>
              <w:t>Date</w:t>
            </w:r>
          </w:p>
        </w:tc>
        <w:tc>
          <w:tcPr>
            <w:tcW w:w="1842" w:type="dxa"/>
          </w:tcPr>
          <w:p w:rsidR="0098692C" w:rsidRDefault="0098692C" w:rsidP="0098692C">
            <w:pPr>
              <w:pStyle w:val="Sansinterligne"/>
              <w:jc w:val="center"/>
              <w:cnfStyle w:val="100000000000" w:firstRow="1" w:lastRow="0" w:firstColumn="0" w:lastColumn="0" w:oddVBand="0" w:evenVBand="0" w:oddHBand="0" w:evenHBand="0" w:firstRowFirstColumn="0" w:firstRowLastColumn="0" w:lastRowFirstColumn="0" w:lastRowLastColumn="0"/>
            </w:pPr>
            <w:r>
              <w:t>Cumul</w:t>
            </w:r>
          </w:p>
        </w:tc>
        <w:tc>
          <w:tcPr>
            <w:tcW w:w="1842" w:type="dxa"/>
          </w:tcPr>
          <w:p w:rsidR="0098692C" w:rsidRDefault="0098692C" w:rsidP="0098692C">
            <w:pPr>
              <w:pStyle w:val="Sansinterligne"/>
              <w:jc w:val="center"/>
              <w:cnfStyle w:val="100000000000" w:firstRow="1" w:lastRow="0" w:firstColumn="0" w:lastColumn="0" w:oddVBand="0" w:evenVBand="0" w:oddHBand="0" w:evenHBand="0" w:firstRowFirstColumn="0" w:firstRowLastColumn="0" w:lastRowFirstColumn="0" w:lastRowLastColumn="0"/>
            </w:pPr>
            <w:r>
              <w:t>Adhérents</w:t>
            </w:r>
          </w:p>
        </w:tc>
      </w:tr>
      <w:tr w:rsidR="0098692C" w:rsidTr="0098692C">
        <w:trPr>
          <w:jc w:val="center"/>
        </w:trPr>
        <w:tc>
          <w:tcPr>
            <w:cnfStyle w:val="001000000000" w:firstRow="0" w:lastRow="0" w:firstColumn="1" w:lastColumn="0" w:oddVBand="0" w:evenVBand="0" w:oddHBand="0" w:evenHBand="0" w:firstRowFirstColumn="0" w:firstRowLastColumn="0" w:lastRowFirstColumn="0" w:lastRowLastColumn="0"/>
            <w:tcW w:w="1842" w:type="dxa"/>
          </w:tcPr>
          <w:p w:rsidR="0098692C" w:rsidRDefault="0098692C" w:rsidP="0098692C">
            <w:pPr>
              <w:pStyle w:val="Sansinterligne"/>
            </w:pPr>
            <w:r>
              <w:t>Min</w:t>
            </w:r>
          </w:p>
        </w:tc>
        <w:tc>
          <w:tcPr>
            <w:tcW w:w="1842" w:type="dxa"/>
          </w:tcPr>
          <w:p w:rsidR="0098692C" w:rsidRDefault="0098692C" w:rsidP="0098692C">
            <w:pPr>
              <w:pStyle w:val="Sansinterligne"/>
              <w:jc w:val="center"/>
              <w:cnfStyle w:val="000000000000" w:firstRow="0" w:lastRow="0" w:firstColumn="0" w:lastColumn="0" w:oddVBand="0" w:evenVBand="0" w:oddHBand="0" w:evenHBand="0" w:firstRowFirstColumn="0" w:firstRowLastColumn="0" w:lastRowFirstColumn="0" w:lastRowLastColumn="0"/>
            </w:pPr>
            <w:r>
              <w:t>01-01-2016</w:t>
            </w:r>
          </w:p>
        </w:tc>
        <w:tc>
          <w:tcPr>
            <w:tcW w:w="1842" w:type="dxa"/>
          </w:tcPr>
          <w:p w:rsidR="0098692C" w:rsidRDefault="005B39E2" w:rsidP="0098692C">
            <w:pPr>
              <w:pStyle w:val="Sansinterligne"/>
              <w:jc w:val="center"/>
              <w:cnfStyle w:val="000000000000" w:firstRow="0" w:lastRow="0" w:firstColumn="0" w:lastColumn="0" w:oddVBand="0" w:evenVBand="0" w:oddHBand="0" w:evenHBand="0" w:firstRowFirstColumn="0" w:firstRowLastColumn="0" w:lastRowFirstColumn="0" w:lastRowLastColumn="0"/>
            </w:pPr>
            <w:r>
              <w:t>10104</w:t>
            </w:r>
          </w:p>
        </w:tc>
        <w:tc>
          <w:tcPr>
            <w:tcW w:w="1842" w:type="dxa"/>
          </w:tcPr>
          <w:p w:rsidR="0098692C" w:rsidRDefault="0098692C" w:rsidP="0098692C">
            <w:pPr>
              <w:pStyle w:val="Sansinterligne"/>
              <w:jc w:val="center"/>
              <w:cnfStyle w:val="000000000000" w:firstRow="0" w:lastRow="0" w:firstColumn="0" w:lastColumn="0" w:oddVBand="0" w:evenVBand="0" w:oddHBand="0" w:evenHBand="0" w:firstRowFirstColumn="0" w:firstRowLastColumn="0" w:lastRowFirstColumn="0" w:lastRowLastColumn="0"/>
            </w:pPr>
            <w:r>
              <w:t>-1</w:t>
            </w:r>
          </w:p>
        </w:tc>
      </w:tr>
      <w:tr w:rsidR="0098692C" w:rsidTr="0098692C">
        <w:trPr>
          <w:jc w:val="center"/>
        </w:trPr>
        <w:tc>
          <w:tcPr>
            <w:cnfStyle w:val="001000000000" w:firstRow="0" w:lastRow="0" w:firstColumn="1" w:lastColumn="0" w:oddVBand="0" w:evenVBand="0" w:oddHBand="0" w:evenHBand="0" w:firstRowFirstColumn="0" w:firstRowLastColumn="0" w:lastRowFirstColumn="0" w:lastRowLastColumn="0"/>
            <w:tcW w:w="1842" w:type="dxa"/>
          </w:tcPr>
          <w:p w:rsidR="0098692C" w:rsidRDefault="0098692C" w:rsidP="0098692C">
            <w:pPr>
              <w:pStyle w:val="Sansinterligne"/>
            </w:pPr>
            <w:r>
              <w:t>Max</w:t>
            </w:r>
          </w:p>
        </w:tc>
        <w:tc>
          <w:tcPr>
            <w:tcW w:w="1842" w:type="dxa"/>
          </w:tcPr>
          <w:p w:rsidR="0098692C" w:rsidRDefault="0098692C" w:rsidP="0098692C">
            <w:pPr>
              <w:pStyle w:val="Sansinterligne"/>
              <w:jc w:val="center"/>
              <w:cnfStyle w:val="000000000000" w:firstRow="0" w:lastRow="0" w:firstColumn="0" w:lastColumn="0" w:oddVBand="0" w:evenVBand="0" w:oddHBand="0" w:evenHBand="0" w:firstRowFirstColumn="0" w:firstRowLastColumn="0" w:lastRowFirstColumn="0" w:lastRowLastColumn="0"/>
            </w:pPr>
            <w:r>
              <w:t>22-05-2016</w:t>
            </w:r>
          </w:p>
        </w:tc>
        <w:tc>
          <w:tcPr>
            <w:tcW w:w="1842" w:type="dxa"/>
          </w:tcPr>
          <w:p w:rsidR="0098692C" w:rsidRDefault="005B39E2" w:rsidP="0098692C">
            <w:pPr>
              <w:pStyle w:val="Sansinterligne"/>
              <w:jc w:val="center"/>
              <w:cnfStyle w:val="000000000000" w:firstRow="0" w:lastRow="0" w:firstColumn="0" w:lastColumn="0" w:oddVBand="0" w:evenVBand="0" w:oddHBand="0" w:evenHBand="0" w:firstRowFirstColumn="0" w:firstRowLastColumn="0" w:lastRowFirstColumn="0" w:lastRowLastColumn="0"/>
            </w:pPr>
            <w:r>
              <w:t>11089</w:t>
            </w:r>
          </w:p>
        </w:tc>
        <w:tc>
          <w:tcPr>
            <w:tcW w:w="1842" w:type="dxa"/>
          </w:tcPr>
          <w:p w:rsidR="0098692C" w:rsidRDefault="0098692C" w:rsidP="0098692C">
            <w:pPr>
              <w:pStyle w:val="Sansinterligne"/>
              <w:jc w:val="center"/>
              <w:cnfStyle w:val="000000000000" w:firstRow="0" w:lastRow="0" w:firstColumn="0" w:lastColumn="0" w:oddVBand="0" w:evenVBand="0" w:oddHBand="0" w:evenHBand="0" w:firstRowFirstColumn="0" w:firstRowLastColumn="0" w:lastRowFirstColumn="0" w:lastRowLastColumn="0"/>
            </w:pPr>
            <w:r>
              <w:t>16</w:t>
            </w:r>
          </w:p>
        </w:tc>
      </w:tr>
      <w:tr w:rsidR="0098692C" w:rsidTr="0098692C">
        <w:trPr>
          <w:jc w:val="center"/>
        </w:trPr>
        <w:tc>
          <w:tcPr>
            <w:cnfStyle w:val="001000000000" w:firstRow="0" w:lastRow="0" w:firstColumn="1" w:lastColumn="0" w:oddVBand="0" w:evenVBand="0" w:oddHBand="0" w:evenHBand="0" w:firstRowFirstColumn="0" w:firstRowLastColumn="0" w:lastRowFirstColumn="0" w:lastRowLastColumn="0"/>
            <w:tcW w:w="1842" w:type="dxa"/>
          </w:tcPr>
          <w:p w:rsidR="0098692C" w:rsidRDefault="0098692C" w:rsidP="0098692C">
            <w:pPr>
              <w:pStyle w:val="Sansinterligne"/>
            </w:pPr>
            <w:r>
              <w:t>N</w:t>
            </w:r>
          </w:p>
        </w:tc>
        <w:tc>
          <w:tcPr>
            <w:tcW w:w="5526" w:type="dxa"/>
            <w:gridSpan w:val="3"/>
          </w:tcPr>
          <w:p w:rsidR="0098692C" w:rsidRDefault="0098692C" w:rsidP="0098692C">
            <w:pPr>
              <w:pStyle w:val="Sansinterligne"/>
              <w:jc w:val="center"/>
              <w:cnfStyle w:val="000000000000" w:firstRow="0" w:lastRow="0" w:firstColumn="0" w:lastColumn="0" w:oddVBand="0" w:evenVBand="0" w:oddHBand="0" w:evenHBand="0" w:firstRowFirstColumn="0" w:firstRowLastColumn="0" w:lastRowFirstColumn="0" w:lastRowLastColumn="0"/>
            </w:pPr>
            <w:r>
              <w:t>3421</w:t>
            </w:r>
          </w:p>
        </w:tc>
      </w:tr>
      <w:tr w:rsidR="0098692C" w:rsidTr="0098692C">
        <w:trPr>
          <w:jc w:val="center"/>
        </w:trPr>
        <w:tc>
          <w:tcPr>
            <w:cnfStyle w:val="001000000000" w:firstRow="0" w:lastRow="0" w:firstColumn="1" w:lastColumn="0" w:oddVBand="0" w:evenVBand="0" w:oddHBand="0" w:evenHBand="0" w:firstRowFirstColumn="0" w:firstRowLastColumn="0" w:lastRowFirstColumn="0" w:lastRowLastColumn="0"/>
            <w:tcW w:w="1842" w:type="dxa"/>
          </w:tcPr>
          <w:p w:rsidR="0098692C" w:rsidRDefault="0098692C" w:rsidP="0098692C">
            <w:pPr>
              <w:pStyle w:val="Sansinterligne"/>
            </w:pPr>
            <w:r>
              <w:t>Manquants</w:t>
            </w:r>
          </w:p>
        </w:tc>
        <w:tc>
          <w:tcPr>
            <w:tcW w:w="5526" w:type="dxa"/>
            <w:gridSpan w:val="3"/>
          </w:tcPr>
          <w:p w:rsidR="0098692C" w:rsidRDefault="0098692C" w:rsidP="0098692C">
            <w:pPr>
              <w:pStyle w:val="Sansinterligne"/>
              <w:jc w:val="center"/>
              <w:cnfStyle w:val="000000000000" w:firstRow="0" w:lastRow="0" w:firstColumn="0" w:lastColumn="0" w:oddVBand="0" w:evenVBand="0" w:oddHBand="0" w:evenHBand="0" w:firstRowFirstColumn="0" w:firstRowLastColumn="0" w:lastRowFirstColumn="0" w:lastRowLastColumn="0"/>
            </w:pPr>
            <w:r>
              <w:t>0</w:t>
            </w:r>
          </w:p>
        </w:tc>
      </w:tr>
    </w:tbl>
    <w:p w:rsidR="0098692C" w:rsidRPr="00E75723" w:rsidRDefault="0098692C" w:rsidP="0098692C">
      <w:pPr>
        <w:jc w:val="both"/>
        <w:rPr>
          <w:sz w:val="2"/>
        </w:rPr>
      </w:pPr>
    </w:p>
    <w:p w:rsidR="001E20FC" w:rsidRDefault="001E20FC" w:rsidP="008F3C19">
      <w:pPr>
        <w:jc w:val="both"/>
      </w:pPr>
      <w:r>
        <w:t xml:space="preserve">La donnée horaire </w:t>
      </w:r>
      <w:r w:rsidR="008B7CD0">
        <w:t>(</w:t>
      </w:r>
      <w:r w:rsidR="008B7CD0">
        <w:fldChar w:fldCharType="begin"/>
      </w:r>
      <w:r w:rsidR="008B7CD0">
        <w:instrText xml:space="preserve"> REF _Ref474512792 \h </w:instrText>
      </w:r>
      <w:r w:rsidR="008B7CD0">
        <w:fldChar w:fldCharType="separate"/>
      </w:r>
      <w:r w:rsidR="001C3E85">
        <w:t xml:space="preserve">Tableau </w:t>
      </w:r>
      <w:r w:rsidR="001C3E85">
        <w:rPr>
          <w:noProof/>
        </w:rPr>
        <w:t>2</w:t>
      </w:r>
      <w:r w:rsidR="008B7CD0">
        <w:fldChar w:fldCharType="end"/>
      </w:r>
      <w:r w:rsidR="008B7CD0">
        <w:t xml:space="preserve">) </w:t>
      </w:r>
      <w:r>
        <w:t xml:space="preserve">est complète et comporte 11 valeurs d’adhésions négatives (-1) correspondant à un solde </w:t>
      </w:r>
      <w:proofErr w:type="gramStart"/>
      <w:r>
        <w:t xml:space="preserve">négatif </w:t>
      </w:r>
      <m:oMath>
        <m:r>
          <w:rPr>
            <w:rFonts w:ascii="Cambria Math" w:hAnsi="Cambria Math"/>
          </w:rPr>
          <m:t>h</m:t>
        </m:r>
        <w:proofErr w:type="gramEnd"/>
        <m:r>
          <w:rPr>
            <w:rFonts w:ascii="Cambria Math" w:hAnsi="Cambria Math"/>
          </w:rPr>
          <m:t>ésions-radiations</m:t>
        </m:r>
      </m:oMath>
      <w:r>
        <w:t xml:space="preserve"> .</w:t>
      </w:r>
      <w:r w:rsidR="00DF1BCB">
        <w:t xml:space="preserve"> Elles sont conservées.</w:t>
      </w:r>
    </w:p>
    <w:p w:rsidR="008B7CD0" w:rsidRDefault="008B7CD0" w:rsidP="008F3C19">
      <w:pPr>
        <w:jc w:val="both"/>
      </w:pPr>
    </w:p>
    <w:p w:rsidR="00E75723" w:rsidRDefault="00E75723" w:rsidP="00E75723">
      <w:pPr>
        <w:pStyle w:val="Citationintense"/>
      </w:pPr>
      <w:r>
        <w:t>Statistiques descriptives</w:t>
      </w:r>
      <w:r w:rsidR="00045652">
        <w:t xml:space="preserve"> journalières</w:t>
      </w:r>
    </w:p>
    <w:p w:rsidR="00E75723" w:rsidRDefault="00B91328" w:rsidP="00E75723">
      <w:pPr>
        <w:pStyle w:val="Sous-titre"/>
      </w:pPr>
      <w:r>
        <w:t>Forme générale</w:t>
      </w:r>
    </w:p>
    <w:p w:rsidR="008F3C19" w:rsidRDefault="00D76936" w:rsidP="00E75723">
      <w:pPr>
        <w:jc w:val="both"/>
      </w:pPr>
      <w:r>
        <w:t xml:space="preserve">La donnée présente les attributs d’une série temporelle avec </w:t>
      </w:r>
      <w:r w:rsidR="00B91328">
        <w:t>un caractère non-stationnaire caractéristique à la fois par l’augmentation de sa valeur moyenne dans le temps</w:t>
      </w:r>
      <w:r w:rsidR="00A40E23">
        <w:t xml:space="preserve"> et de sa dispersion</w:t>
      </w:r>
      <w:r w:rsidR="00B91328">
        <w:t xml:space="preserve">. </w:t>
      </w:r>
      <w:r w:rsidR="006F0ABC">
        <w:t>On la représente graphiquement pour se donner une idée (</w:t>
      </w:r>
      <w:r w:rsidR="00C87628">
        <w:fldChar w:fldCharType="begin"/>
      </w:r>
      <w:r w:rsidR="00C87628">
        <w:instrText xml:space="preserve"> REF _Ref470819010 \h </w:instrText>
      </w:r>
      <w:r w:rsidR="00C87628">
        <w:fldChar w:fldCharType="separate"/>
      </w:r>
      <w:r w:rsidR="001C3E85">
        <w:t xml:space="preserve">Figure </w:t>
      </w:r>
      <w:r w:rsidR="001C3E85">
        <w:rPr>
          <w:noProof/>
        </w:rPr>
        <w:t>1</w:t>
      </w:r>
      <w:r w:rsidR="00C87628">
        <w:fldChar w:fldCharType="end"/>
      </w:r>
      <w:r w:rsidR="006F0ABC">
        <w:t>).</w:t>
      </w:r>
    </w:p>
    <w:p w:rsidR="000E0992" w:rsidRDefault="004B2FF8" w:rsidP="007C7F1C">
      <w:pPr>
        <w:pStyle w:val="Lgende"/>
        <w:jc w:val="center"/>
      </w:pPr>
      <w:r>
        <w:rPr>
          <w:noProof/>
        </w:rPr>
        <w:drawing>
          <wp:inline distT="0" distB="0" distL="0" distR="0" wp14:anchorId="37408440" wp14:editId="411E5534">
            <wp:extent cx="3667125" cy="2678538"/>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2678538"/>
                    </a:xfrm>
                    <a:prstGeom prst="rect">
                      <a:avLst/>
                    </a:prstGeom>
                    <a:noFill/>
                    <a:ln>
                      <a:noFill/>
                    </a:ln>
                  </pic:spPr>
                </pic:pic>
              </a:graphicData>
            </a:graphic>
          </wp:inline>
        </w:drawing>
      </w:r>
    </w:p>
    <w:p w:rsidR="00907269" w:rsidRDefault="000E0992" w:rsidP="007C7F1C">
      <w:pPr>
        <w:pStyle w:val="Lgende"/>
        <w:jc w:val="center"/>
      </w:pPr>
      <w:bookmarkStart w:id="1" w:name="_Ref470819010"/>
      <w:r>
        <w:t xml:space="preserve">Figure </w:t>
      </w:r>
      <w:r w:rsidR="001C3E85">
        <w:fldChar w:fldCharType="begin"/>
      </w:r>
      <w:r w:rsidR="001C3E85">
        <w:instrText xml:space="preserve"> SEQ Figure \* ARABIC </w:instrText>
      </w:r>
      <w:r w:rsidR="001C3E85">
        <w:fldChar w:fldCharType="separate"/>
      </w:r>
      <w:r w:rsidR="001C3E85">
        <w:rPr>
          <w:noProof/>
        </w:rPr>
        <w:t>1</w:t>
      </w:r>
      <w:r w:rsidR="001C3E85">
        <w:rPr>
          <w:noProof/>
        </w:rPr>
        <w:fldChar w:fldCharType="end"/>
      </w:r>
      <w:bookmarkEnd w:id="1"/>
      <w:r>
        <w:t xml:space="preserve">: Evolution </w:t>
      </w:r>
      <w:proofErr w:type="gramStart"/>
      <w:r>
        <w:t>de</w:t>
      </w:r>
      <w:r w:rsidR="003E4913">
        <w:t xml:space="preserve"> la</w:t>
      </w:r>
      <w:proofErr w:type="gramEnd"/>
      <w:r w:rsidR="003E4913">
        <w:t xml:space="preserve"> variable « </w:t>
      </w:r>
      <w:r w:rsidR="004B2FF8">
        <w:t>c</w:t>
      </w:r>
      <w:r>
        <w:t>u</w:t>
      </w:r>
      <w:r w:rsidR="003E4913">
        <w:t>mul » et « </w:t>
      </w:r>
      <w:r w:rsidR="0098692C">
        <w:t>adhérents</w:t>
      </w:r>
      <w:r w:rsidR="003E4913">
        <w:t> »</w:t>
      </w:r>
      <w:r>
        <w:t xml:space="preserve"> dans le temps</w:t>
      </w:r>
    </w:p>
    <w:p w:rsidR="00C27B8C" w:rsidRPr="00C27B8C" w:rsidRDefault="00C27B8C" w:rsidP="00C27B8C">
      <w:pPr>
        <w:pStyle w:val="Sous-titre"/>
        <w:rPr>
          <w:sz w:val="6"/>
        </w:rPr>
      </w:pPr>
    </w:p>
    <w:p w:rsidR="008B7CD0" w:rsidRDefault="008B7CD0" w:rsidP="00C27B8C">
      <w:pPr>
        <w:pStyle w:val="Sous-titre"/>
      </w:pPr>
    </w:p>
    <w:p w:rsidR="008B7CD0" w:rsidRDefault="008B7CD0" w:rsidP="00C27B8C">
      <w:pPr>
        <w:pStyle w:val="Sous-titre"/>
      </w:pPr>
    </w:p>
    <w:p w:rsidR="00EA0342" w:rsidRDefault="00EA0342" w:rsidP="00EA0342"/>
    <w:p w:rsidR="00EA0342" w:rsidRPr="00EA0342" w:rsidRDefault="00EA0342" w:rsidP="00EA0342"/>
    <w:p w:rsidR="008B7CD0" w:rsidRDefault="008B7CD0" w:rsidP="00C27B8C">
      <w:pPr>
        <w:pStyle w:val="Sous-titre"/>
      </w:pPr>
    </w:p>
    <w:p w:rsidR="00C27B8C" w:rsidRDefault="00B75562" w:rsidP="00C27B8C">
      <w:pPr>
        <w:pStyle w:val="Sous-titre"/>
      </w:pPr>
      <w:r>
        <w:lastRenderedPageBreak/>
        <w:t>Adhésions</w:t>
      </w:r>
      <w:r w:rsidR="00CA60CF">
        <w:t> : analyse des extrema</w:t>
      </w:r>
    </w:p>
    <w:p w:rsidR="00283A0D" w:rsidRDefault="0044309C" w:rsidP="00C27B8C">
      <w:pPr>
        <w:jc w:val="both"/>
      </w:pPr>
      <w:r>
        <w:t xml:space="preserve">Les </w:t>
      </w:r>
      <w:r w:rsidR="00B75562">
        <w:t>journées</w:t>
      </w:r>
      <w:r>
        <w:t xml:space="preserve"> nulles </w:t>
      </w:r>
      <w:r w:rsidR="005D4F64">
        <w:t xml:space="preserve">en </w:t>
      </w:r>
      <w:r w:rsidR="00B75562">
        <w:t>adhésions</w:t>
      </w:r>
      <w:r>
        <w:t xml:space="preserve"> se retrouvent naturellement dans les premières années</w:t>
      </w:r>
      <w:r w:rsidR="00AD441B">
        <w:t xml:space="preserve"> (zones jaunes de la représentation en </w:t>
      </w:r>
      <w:r w:rsidR="00AD441B">
        <w:fldChar w:fldCharType="begin"/>
      </w:r>
      <w:r w:rsidR="00AD441B">
        <w:instrText xml:space="preserve"> REF _Ref470819625 \h </w:instrText>
      </w:r>
      <w:r w:rsidR="00AD441B">
        <w:fldChar w:fldCharType="separate"/>
      </w:r>
      <w:r w:rsidR="001C3E85">
        <w:t xml:space="preserve">Figure </w:t>
      </w:r>
      <w:r w:rsidR="001C3E85">
        <w:rPr>
          <w:noProof/>
        </w:rPr>
        <w:t>2</w:t>
      </w:r>
      <w:r w:rsidR="00AD441B">
        <w:fldChar w:fldCharType="end"/>
      </w:r>
      <w:r w:rsidR="00AD441B">
        <w:t>)</w:t>
      </w:r>
      <w:r>
        <w:t>.</w:t>
      </w:r>
      <w:r w:rsidR="005D4F64">
        <w:t xml:space="preserve"> On dénombre 41% </w:t>
      </w:r>
      <w:r w:rsidR="0060132F">
        <w:t xml:space="preserve">de </w:t>
      </w:r>
      <w:r w:rsidR="005D4F64">
        <w:t>valeurs nulles.</w:t>
      </w:r>
    </w:p>
    <w:p w:rsidR="00AD441B" w:rsidRDefault="000800E9" w:rsidP="00AD441B">
      <w:pPr>
        <w:keepNext/>
        <w:jc w:val="center"/>
      </w:pPr>
      <w:r>
        <w:rPr>
          <w:noProof/>
          <w:lang w:eastAsia="fr-FR"/>
        </w:rPr>
        <w:drawing>
          <wp:inline distT="0" distB="0" distL="0" distR="0">
            <wp:extent cx="5804535" cy="643890"/>
            <wp:effectExtent l="0" t="0" r="5715"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4535" cy="643890"/>
                    </a:xfrm>
                    <a:prstGeom prst="rect">
                      <a:avLst/>
                    </a:prstGeom>
                    <a:noFill/>
                    <a:ln>
                      <a:noFill/>
                    </a:ln>
                  </pic:spPr>
                </pic:pic>
              </a:graphicData>
            </a:graphic>
          </wp:inline>
        </w:drawing>
      </w:r>
    </w:p>
    <w:p w:rsidR="00283A0D" w:rsidRDefault="00AD441B" w:rsidP="00AD441B">
      <w:pPr>
        <w:pStyle w:val="Lgende"/>
        <w:jc w:val="center"/>
      </w:pPr>
      <w:bookmarkStart w:id="2" w:name="_Ref470819625"/>
      <w:r>
        <w:t xml:space="preserve">Figure </w:t>
      </w:r>
      <w:r w:rsidR="001C3E85">
        <w:fldChar w:fldCharType="begin"/>
      </w:r>
      <w:r w:rsidR="001C3E85">
        <w:instrText xml:space="preserve"> SEQ Figure \* ARABIC </w:instrText>
      </w:r>
      <w:r w:rsidR="001C3E85">
        <w:fldChar w:fldCharType="separate"/>
      </w:r>
      <w:r w:rsidR="001C3E85">
        <w:rPr>
          <w:noProof/>
        </w:rPr>
        <w:t>2</w:t>
      </w:r>
      <w:r w:rsidR="001C3E85">
        <w:rPr>
          <w:noProof/>
        </w:rPr>
        <w:fldChar w:fldCharType="end"/>
      </w:r>
      <w:bookmarkEnd w:id="2"/>
      <w:r>
        <w:t xml:space="preserve">: Journées d'adhésions nulles (jaune) ou </w:t>
      </w:r>
      <w:proofErr w:type="gramStart"/>
      <w:r>
        <w:t>non-nulles (rouge</w:t>
      </w:r>
      <w:proofErr w:type="gramEnd"/>
      <w:r>
        <w:t>)</w:t>
      </w:r>
    </w:p>
    <w:p w:rsidR="00233845" w:rsidRPr="00233845" w:rsidRDefault="00233845" w:rsidP="00233845">
      <w:pPr>
        <w:rPr>
          <w:sz w:val="2"/>
          <w:lang w:eastAsia="fr-FR"/>
        </w:rPr>
      </w:pPr>
    </w:p>
    <w:p w:rsidR="00C209D0" w:rsidRDefault="00233845" w:rsidP="00363131">
      <w:pPr>
        <w:jc w:val="both"/>
        <w:rPr>
          <w:lang w:eastAsia="fr-FR"/>
        </w:rPr>
      </w:pPr>
      <w:r>
        <w:rPr>
          <w:lang w:eastAsia="fr-FR"/>
        </w:rPr>
        <w:t xml:space="preserve">Les </w:t>
      </w:r>
      <w:r w:rsidR="00114862">
        <w:rPr>
          <w:lang w:eastAsia="fr-FR"/>
        </w:rPr>
        <w:t xml:space="preserve">3 </w:t>
      </w:r>
      <w:r>
        <w:rPr>
          <w:lang w:eastAsia="fr-FR"/>
        </w:rPr>
        <w:t xml:space="preserve">derniers évènements de ce type sont situés les 4 et 8 avril 2016, et </w:t>
      </w:r>
      <w:r w:rsidR="00114862">
        <w:rPr>
          <w:lang w:eastAsia="fr-FR"/>
        </w:rPr>
        <w:t xml:space="preserve">le </w:t>
      </w:r>
      <w:r>
        <w:rPr>
          <w:lang w:eastAsia="fr-FR"/>
        </w:rPr>
        <w:t>26 juillet 2015.</w:t>
      </w:r>
      <w:r w:rsidR="00363131">
        <w:rPr>
          <w:lang w:eastAsia="fr-FR"/>
        </w:rPr>
        <w:t xml:space="preserve"> Globalement, sur les 10 ans de la série temporelle, les 5 premières années regroupent 95% des journées sans adhésions.</w:t>
      </w:r>
    </w:p>
    <w:p w:rsidR="00E4208C" w:rsidRDefault="00E4208C" w:rsidP="00363131">
      <w:pPr>
        <w:jc w:val="both"/>
        <w:rPr>
          <w:lang w:eastAsia="fr-FR"/>
        </w:rPr>
      </w:pPr>
      <w:r>
        <w:rPr>
          <w:lang w:eastAsia="fr-FR"/>
        </w:rPr>
        <w:t xml:space="preserve">Au contraire, les journées très élevées en </w:t>
      </w:r>
      <w:r w:rsidR="00B75562">
        <w:rPr>
          <w:lang w:eastAsia="fr-FR"/>
        </w:rPr>
        <w:t>adhésions</w:t>
      </w:r>
      <w:r>
        <w:rPr>
          <w:lang w:eastAsia="fr-FR"/>
        </w:rPr>
        <w:t xml:space="preserve"> se situent plutôt autour des dates d</w:t>
      </w:r>
      <w:r w:rsidR="00C73EF2">
        <w:rPr>
          <w:lang w:eastAsia="fr-FR"/>
        </w:rPr>
        <w:t>e grandes élections</w:t>
      </w:r>
      <w:r>
        <w:rPr>
          <w:lang w:eastAsia="fr-FR"/>
        </w:rPr>
        <w:t>: européennes de 2014 (46 le 22 mai), régionales de 2015 (47 le 2 décembre), et américaines de 2016 (114 le 11 novembre).</w:t>
      </w:r>
      <w:r w:rsidR="00BE5C64">
        <w:rPr>
          <w:lang w:eastAsia="fr-FR"/>
        </w:rPr>
        <w:t xml:space="preserve"> Ces valeurs sont donc tout à fait valides.</w:t>
      </w:r>
    </w:p>
    <w:p w:rsidR="00C209D0" w:rsidRDefault="00F259F0" w:rsidP="00363131">
      <w:pPr>
        <w:jc w:val="both"/>
        <w:rPr>
          <w:lang w:eastAsia="fr-FR"/>
        </w:rPr>
      </w:pPr>
      <w:r>
        <w:rPr>
          <w:lang w:eastAsia="fr-FR"/>
        </w:rPr>
        <w:t xml:space="preserve">On peut porter au crédit de ce mouvement le maintien d’une croissance soutenue dans le temps. Ainsi quelques chiffres sont parlants : </w:t>
      </w:r>
    </w:p>
    <w:p w:rsidR="00F301F3" w:rsidRDefault="00F301F3" w:rsidP="00F301F3">
      <w:pPr>
        <w:pStyle w:val="Paragraphedeliste"/>
        <w:numPr>
          <w:ilvl w:val="0"/>
          <w:numId w:val="3"/>
        </w:numPr>
        <w:jc w:val="both"/>
        <w:rPr>
          <w:lang w:eastAsia="fr-FR"/>
        </w:rPr>
      </w:pPr>
      <w:r>
        <w:rPr>
          <w:lang w:eastAsia="fr-FR"/>
        </w:rPr>
        <w:t>Il a fallu 5 ans pour accumuler les premiers 10% d’adhérents</w:t>
      </w:r>
      <w:r w:rsidR="00782007">
        <w:rPr>
          <w:lang w:eastAsia="fr-FR"/>
        </w:rPr>
        <w:t>.</w:t>
      </w:r>
    </w:p>
    <w:p w:rsidR="00F301F3" w:rsidRDefault="004B2FF8" w:rsidP="00F301F3">
      <w:pPr>
        <w:pStyle w:val="Paragraphedeliste"/>
        <w:numPr>
          <w:ilvl w:val="0"/>
          <w:numId w:val="3"/>
        </w:numPr>
        <w:jc w:val="both"/>
        <w:rPr>
          <w:lang w:eastAsia="fr-FR"/>
        </w:rPr>
      </w:pPr>
      <w:r>
        <w:rPr>
          <w:lang w:eastAsia="fr-FR"/>
        </w:rPr>
        <w:t>Les derniers 21</w:t>
      </w:r>
      <w:r w:rsidR="00F301F3">
        <w:rPr>
          <w:lang w:eastAsia="fr-FR"/>
        </w:rPr>
        <w:t xml:space="preserve"> mois ont vu autant d’adhésions que pendant toute la durée passée</w:t>
      </w:r>
      <w:r w:rsidR="00782007">
        <w:rPr>
          <w:lang w:eastAsia="fr-FR"/>
        </w:rPr>
        <w:t>.</w:t>
      </w:r>
    </w:p>
    <w:p w:rsidR="00F301F3" w:rsidRDefault="00782007" w:rsidP="00F301F3">
      <w:pPr>
        <w:pStyle w:val="Paragraphedeliste"/>
        <w:numPr>
          <w:ilvl w:val="0"/>
          <w:numId w:val="3"/>
        </w:numPr>
        <w:jc w:val="both"/>
        <w:rPr>
          <w:lang w:eastAsia="fr-FR"/>
        </w:rPr>
      </w:pPr>
      <w:r>
        <w:rPr>
          <w:lang w:eastAsia="fr-FR"/>
        </w:rPr>
        <w:t>Près de 15% des adhérents sont arrivés sur les deux derniers mois</w:t>
      </w:r>
      <w:r w:rsidR="004B2FF8">
        <w:rPr>
          <w:lang w:eastAsia="fr-FR"/>
        </w:rPr>
        <w:t xml:space="preserve"> et </w:t>
      </w:r>
      <w:r w:rsidR="00F275BC">
        <w:rPr>
          <w:lang w:eastAsia="fr-FR"/>
        </w:rPr>
        <w:t>demi</w:t>
      </w:r>
      <w:r>
        <w:rPr>
          <w:lang w:eastAsia="fr-FR"/>
        </w:rPr>
        <w:t>.</w:t>
      </w:r>
    </w:p>
    <w:p w:rsidR="00F259F0" w:rsidRDefault="00B75562" w:rsidP="00363131">
      <w:pPr>
        <w:jc w:val="both"/>
        <w:rPr>
          <w:lang w:eastAsia="fr-FR"/>
        </w:rPr>
      </w:pPr>
      <w:r>
        <w:rPr>
          <w:lang w:eastAsia="fr-FR"/>
        </w:rPr>
        <w:t xml:space="preserve">Le nombre d’adhésions </w:t>
      </w:r>
      <w:r w:rsidR="00782007">
        <w:rPr>
          <w:lang w:eastAsia="fr-FR"/>
        </w:rPr>
        <w:t xml:space="preserve">moyen sur toute la période </w:t>
      </w:r>
      <w:r w:rsidR="00597258">
        <w:rPr>
          <w:lang w:eastAsia="fr-FR"/>
        </w:rPr>
        <w:t xml:space="preserve">est </w:t>
      </w:r>
      <w:proofErr w:type="gramStart"/>
      <w:r w:rsidR="00597258">
        <w:rPr>
          <w:lang w:eastAsia="fr-FR"/>
        </w:rPr>
        <w:t>de</w:t>
      </w:r>
      <w:r w:rsidR="00A40E23">
        <w:rPr>
          <w:lang w:eastAsia="fr-FR"/>
        </w:rPr>
        <w:t xml:space="preserve"> </w:t>
      </w:r>
      <w:r w:rsidR="00597258">
        <w:rPr>
          <w:rFonts w:eastAsiaTheme="minorEastAsia"/>
          <w:lang w:eastAsia="fr-FR"/>
        </w:rPr>
        <w:t xml:space="preserve"> </w:t>
      </w:r>
      <w:proofErr w:type="gramEnd"/>
      <m:oMath>
        <m:r>
          <w:rPr>
            <w:rFonts w:ascii="Cambria Math" w:hAnsi="Cambria Math"/>
            <w:lang w:eastAsia="fr-FR"/>
          </w:rPr>
          <m:t>4,26</m:t>
        </m:r>
        <m:r>
          <w:rPr>
            <w:rFonts w:ascii="Cambria Math" w:eastAsiaTheme="minorEastAsia" w:hAnsi="Cambria Math"/>
            <w:lang w:eastAsia="fr-FR"/>
          </w:rPr>
          <m:t>/jour</m:t>
        </m:r>
      </m:oMath>
      <w:r w:rsidR="00782007">
        <w:rPr>
          <w:lang w:eastAsia="fr-FR"/>
        </w:rPr>
        <w:t>.</w:t>
      </w:r>
    </w:p>
    <w:p w:rsidR="007E6D91" w:rsidRDefault="007E6D91" w:rsidP="007E6D91">
      <w:pPr>
        <w:pStyle w:val="Citationintense"/>
      </w:pPr>
      <w:r>
        <w:t>Dynamique de la série temporelle</w:t>
      </w:r>
    </w:p>
    <w:p w:rsidR="007E6D91" w:rsidRDefault="00B26967" w:rsidP="00105EA8">
      <w:pPr>
        <w:pStyle w:val="Sous-titre"/>
        <w:tabs>
          <w:tab w:val="left" w:pos="2717"/>
        </w:tabs>
      </w:pPr>
      <w:r>
        <w:t>Autocorrélation</w:t>
      </w:r>
      <w:r w:rsidR="00105EA8">
        <w:tab/>
      </w:r>
    </w:p>
    <w:p w:rsidR="008B7CD0" w:rsidRDefault="007E6D91" w:rsidP="007E6D91">
      <w:pPr>
        <w:jc w:val="both"/>
      </w:pPr>
      <w:r>
        <w:t xml:space="preserve">La série temporelle des </w:t>
      </w:r>
      <w:r w:rsidR="00B75562">
        <w:t>adhésions</w:t>
      </w:r>
      <w:r>
        <w:t xml:space="preserve"> quotidien</w:t>
      </w:r>
      <w:r w:rsidR="00B75562">
        <w:t>ne</w:t>
      </w:r>
      <w:r>
        <w:t xml:space="preserve">s </w:t>
      </w:r>
      <w:r w:rsidR="001858EF">
        <w:t>peut être analysée par</w:t>
      </w:r>
      <w:r w:rsidR="00500790">
        <w:t xml:space="preserve"> la fonction d’</w:t>
      </w:r>
      <w:r w:rsidR="003716B3">
        <w:t>autocorrélation</w:t>
      </w:r>
      <w:r w:rsidR="008F78DF">
        <w:t xml:space="preserve"> (</w:t>
      </w:r>
      <w:r w:rsidR="008F78DF">
        <w:fldChar w:fldCharType="begin"/>
      </w:r>
      <w:r w:rsidR="008F78DF">
        <w:instrText xml:space="preserve"> REF _Ref470822679 \h </w:instrText>
      </w:r>
      <w:r w:rsidR="008F78DF">
        <w:fldChar w:fldCharType="separate"/>
      </w:r>
      <w:r w:rsidR="001C3E85">
        <w:t xml:space="preserve">Figure </w:t>
      </w:r>
      <w:r w:rsidR="001C3E85">
        <w:rPr>
          <w:noProof/>
        </w:rPr>
        <w:t>3</w:t>
      </w:r>
      <w:r w:rsidR="008F78DF">
        <w:fldChar w:fldCharType="end"/>
      </w:r>
      <w:r w:rsidR="008F78DF">
        <w:t>)</w:t>
      </w:r>
      <w:r w:rsidR="00500790">
        <w:t>, qui renseigne sur un</w:t>
      </w:r>
      <w:r w:rsidR="008F78DF">
        <w:t>e</w:t>
      </w:r>
      <w:r w:rsidR="00500790">
        <w:t xml:space="preserve"> éventuelle cor</w:t>
      </w:r>
      <w:r w:rsidR="00FD2EE0">
        <w:t>rélation entre chaque point et s</w:t>
      </w:r>
      <w:r w:rsidR="00500790">
        <w:t>es précédents.</w:t>
      </w:r>
      <w:r w:rsidR="00114EC9">
        <w:t xml:space="preserve"> </w:t>
      </w:r>
    </w:p>
    <w:p w:rsidR="008B7CD0" w:rsidRDefault="008B7CD0" w:rsidP="008B7CD0">
      <w:pPr>
        <w:keepNext/>
        <w:jc w:val="center"/>
      </w:pPr>
      <w:r>
        <w:rPr>
          <w:noProof/>
          <w:lang w:eastAsia="fr-FR"/>
        </w:rPr>
        <mc:AlternateContent>
          <mc:Choice Requires="wps">
            <w:drawing>
              <wp:anchor distT="0" distB="0" distL="114300" distR="114300" simplePos="0" relativeHeight="251659264" behindDoc="0" locked="0" layoutInCell="1" allowOverlap="1" wp14:anchorId="47168C27" wp14:editId="470B974C">
                <wp:simplePos x="0" y="0"/>
                <wp:positionH relativeFrom="column">
                  <wp:posOffset>881786</wp:posOffset>
                </wp:positionH>
                <wp:positionV relativeFrom="paragraph">
                  <wp:posOffset>850900</wp:posOffset>
                </wp:positionV>
                <wp:extent cx="230587" cy="206733"/>
                <wp:effectExtent l="57150" t="38100" r="74295" b="79375"/>
                <wp:wrapNone/>
                <wp:docPr id="1" name="Connecteur droit avec flèche 1"/>
                <wp:cNvGraphicFramePr/>
                <a:graphic xmlns:a="http://schemas.openxmlformats.org/drawingml/2006/main">
                  <a:graphicData uri="http://schemas.microsoft.com/office/word/2010/wordprocessingShape">
                    <wps:wsp>
                      <wps:cNvCnPr/>
                      <wps:spPr>
                        <a:xfrm flipH="1" flipV="1">
                          <a:off x="0" y="0"/>
                          <a:ext cx="230587" cy="206733"/>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 o:spid="_x0000_s1026" type="#_x0000_t32" style="position:absolute;margin-left:69.45pt;margin-top:67pt;width:18.15pt;height:16.3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" strokecolor="#9bbb59 [3206]" strokeweight="2pt">
                <v:stroke endarrow="open"/>
                <v:shadow on="t" color="black" opacity="24903f" origin=",.5" offset="0,.55556mm"/>
              </v:shape>
            </w:pict>
          </mc:Fallback>
        </mc:AlternateContent>
      </w:r>
      <w:r>
        <w:rPr>
          <w:noProof/>
          <w:lang w:eastAsia="fr-FR"/>
        </w:rPr>
        <w:drawing>
          <wp:inline distT="0" distB="0" distL="0" distR="0" wp14:anchorId="22B8245D" wp14:editId="0D57D0E4">
            <wp:extent cx="2687541" cy="154871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r="22654"/>
                    <a:stretch/>
                  </pic:blipFill>
                  <pic:spPr bwMode="auto">
                    <a:xfrm>
                      <a:off x="0" y="0"/>
                      <a:ext cx="2690739" cy="1550555"/>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eastAsia="fr-FR"/>
        </w:rPr>
        <w:drawing>
          <wp:inline distT="0" distB="0" distL="0" distR="0" wp14:anchorId="7CF56AC7" wp14:editId="6E0E5E15">
            <wp:extent cx="2512612" cy="1526651"/>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18960"/>
                    <a:stretch/>
                  </pic:blipFill>
                  <pic:spPr bwMode="auto">
                    <a:xfrm>
                      <a:off x="0" y="0"/>
                      <a:ext cx="2512612" cy="1526651"/>
                    </a:xfrm>
                    <a:prstGeom prst="rect">
                      <a:avLst/>
                    </a:prstGeom>
                    <a:noFill/>
                    <a:ln>
                      <a:noFill/>
                    </a:ln>
                    <a:extLst>
                      <a:ext uri="{53640926-AAD7-44D8-BBD7-CCE9431645EC}">
                        <a14:shadowObscured xmlns:a14="http://schemas.microsoft.com/office/drawing/2010/main"/>
                      </a:ext>
                    </a:extLst>
                  </pic:spPr>
                </pic:pic>
              </a:graphicData>
            </a:graphic>
          </wp:inline>
        </w:drawing>
      </w:r>
    </w:p>
    <w:p w:rsidR="008B7CD0" w:rsidRDefault="008B7CD0" w:rsidP="008B7CD0">
      <w:pPr>
        <w:pStyle w:val="Lgende"/>
        <w:jc w:val="center"/>
      </w:pPr>
      <w:bookmarkStart w:id="3" w:name="_Ref470822679"/>
      <w:r>
        <w:t xml:space="preserve">Figure </w:t>
      </w:r>
      <w:r w:rsidR="001C3E85">
        <w:fldChar w:fldCharType="begin"/>
      </w:r>
      <w:r w:rsidR="001C3E85">
        <w:instrText xml:space="preserve"> SEQ Figure \* ARABIC </w:instrText>
      </w:r>
      <w:r w:rsidR="001C3E85">
        <w:fldChar w:fldCharType="separate"/>
      </w:r>
      <w:r w:rsidR="001C3E85">
        <w:rPr>
          <w:noProof/>
        </w:rPr>
        <w:t>3</w:t>
      </w:r>
      <w:r w:rsidR="001C3E85">
        <w:rPr>
          <w:noProof/>
        </w:rPr>
        <w:fldChar w:fldCharType="end"/>
      </w:r>
      <w:bookmarkEnd w:id="3"/>
      <w:r>
        <w:t>: fonction d'autocorrélation pour les adhésions journalières (à gauche), et horaires (droite)</w:t>
      </w:r>
    </w:p>
    <w:p w:rsidR="008B7CD0" w:rsidRPr="008B7CD0" w:rsidRDefault="008B7CD0" w:rsidP="007E6D91">
      <w:pPr>
        <w:jc w:val="both"/>
        <w:rPr>
          <w:sz w:val="6"/>
        </w:rPr>
      </w:pPr>
    </w:p>
    <w:p w:rsidR="00AA745F" w:rsidRDefault="00114EC9" w:rsidP="008B7CD0">
      <w:pPr>
        <w:jc w:val="both"/>
      </w:pPr>
      <w:r>
        <w:t>On peut constater que le nombre d’adhésions quotidiennes est corrélé négativement à celui de la veille</w:t>
      </w:r>
      <w:r w:rsidR="00042F62">
        <w:t xml:space="preserve"> (flèche verte)</w:t>
      </w:r>
      <w:r>
        <w:t xml:space="preserve">. </w:t>
      </w:r>
      <w:r w:rsidR="00DD340F">
        <w:t xml:space="preserve">Les autres corrélations ne sont pas significatives. </w:t>
      </w:r>
      <w:r>
        <w:t>On a donc une légère tendance à une alternance entre un jour un peu plus élevé, et un jour un peu plus faible</w:t>
      </w:r>
      <w:r w:rsidR="00A40E23">
        <w:t xml:space="preserve">, pouvant refléter des jours avec ou sans publications d’articles </w:t>
      </w:r>
      <w:r w:rsidR="00FD2EE0">
        <w:t>motivant</w:t>
      </w:r>
      <w:r w:rsidR="00A40E23">
        <w:t xml:space="preserve"> l’adhésion</w:t>
      </w:r>
      <w:r>
        <w:t xml:space="preserve">. Il n’y a donc pas de « saisonnalité » particulière, comme par exemple des régularités hebdomadaires ou mensuelles. </w:t>
      </w:r>
      <w:r w:rsidR="0011759C">
        <w:t xml:space="preserve"> </w:t>
      </w:r>
      <w:r w:rsidR="006C532C">
        <w:t xml:space="preserve">Au pas de temps </w:t>
      </w:r>
      <w:r w:rsidR="006C532C">
        <w:lastRenderedPageBreak/>
        <w:t>horaire, le nombre d’adhésions n’est pas aléatoire</w:t>
      </w:r>
      <w:r w:rsidR="0067446D">
        <w:t xml:space="preserve"> mais évolue graduellement au fil de la journée</w:t>
      </w:r>
      <w:r w:rsidR="003716B3">
        <w:t xml:space="preserve"> (autocorrélation positive)</w:t>
      </w:r>
      <w:r w:rsidR="006C532C">
        <w:t xml:space="preserve">. </w:t>
      </w:r>
    </w:p>
    <w:p w:rsidR="00105EA8" w:rsidRDefault="00105EA8" w:rsidP="00105EA8">
      <w:pPr>
        <w:pStyle w:val="Sous-titre"/>
      </w:pPr>
      <w:r>
        <w:t xml:space="preserve">Dynamique </w:t>
      </w:r>
      <w:r w:rsidR="00280748">
        <w:t>horaire des adhésions</w:t>
      </w:r>
    </w:p>
    <w:p w:rsidR="00105EA8" w:rsidRDefault="00C812DC" w:rsidP="00363131">
      <w:pPr>
        <w:jc w:val="both"/>
        <w:rPr>
          <w:lang w:eastAsia="fr-FR"/>
        </w:rPr>
      </w:pPr>
      <w:r>
        <w:rPr>
          <w:lang w:eastAsia="fr-FR"/>
        </w:rPr>
        <w:t>Le nombre d’adhésions reçues à chaque heure de la journée est représenté dans le graphique suivant. Il n’y a pas lieu de d</w:t>
      </w:r>
      <w:r w:rsidR="004F6CF6">
        <w:rPr>
          <w:lang w:eastAsia="fr-FR"/>
        </w:rPr>
        <w:t>istinguer la semaine et le week-</w:t>
      </w:r>
      <w:r>
        <w:rPr>
          <w:lang w:eastAsia="fr-FR"/>
        </w:rPr>
        <w:t xml:space="preserve">end (un test </w:t>
      </w:r>
      <w:r w:rsidR="004F6CF6">
        <w:rPr>
          <w:lang w:eastAsia="fr-FR"/>
        </w:rPr>
        <w:t xml:space="preserve">de modèle linéaire ne conserve pas cette variable). </w:t>
      </w:r>
      <w:r w:rsidR="003162DA">
        <w:rPr>
          <w:lang w:eastAsia="fr-FR"/>
        </w:rPr>
        <w:t xml:space="preserve">Les adhésions se concentrent sur l’après-midi et la soirée (rythme de 10/jour au lieu de 3/jour sur la nuit et le matin. La courbe du bas rappelle fortement la </w:t>
      </w:r>
      <w:r w:rsidR="003162DA" w:rsidRPr="00207108">
        <w:rPr>
          <w:b/>
          <w:lang w:eastAsia="fr-FR"/>
        </w:rPr>
        <w:t xml:space="preserve">fréquentation horaire des réseaux sociaux </w:t>
      </w:r>
      <w:r w:rsidR="003162DA">
        <w:rPr>
          <w:lang w:eastAsia="fr-FR"/>
        </w:rPr>
        <w:t xml:space="preserve">(voir le nombre de retweets par heure sur cet </w:t>
      </w:r>
      <w:hyperlink r:id="rId13" w:history="1">
        <w:r w:rsidR="003162DA" w:rsidRPr="003162DA">
          <w:rPr>
            <w:rStyle w:val="Lienhypertexte"/>
            <w:lang w:eastAsia="fr-FR"/>
          </w:rPr>
          <w:t>article</w:t>
        </w:r>
      </w:hyperlink>
      <w:r w:rsidR="003162DA">
        <w:rPr>
          <w:lang w:eastAsia="fr-FR"/>
        </w:rPr>
        <w:t>).</w:t>
      </w:r>
    </w:p>
    <w:p w:rsidR="00D30AF9" w:rsidRDefault="00C812DC" w:rsidP="00B61C00">
      <w:pPr>
        <w:keepNext/>
        <w:jc w:val="center"/>
        <w:rPr>
          <w:rFonts w:ascii="Calibri" w:eastAsia="Times New Roman" w:hAnsi="Calibri" w:cs="Times New Roman"/>
          <w:b/>
          <w:bCs/>
          <w:sz w:val="18"/>
          <w:szCs w:val="18"/>
          <w:lang w:eastAsia="fr-FR"/>
        </w:rPr>
      </w:pPr>
      <w:r>
        <w:rPr>
          <w:noProof/>
          <w:lang w:eastAsia="fr-FR"/>
        </w:rPr>
        <w:drawing>
          <wp:inline distT="0" distB="0" distL="0" distR="0" wp14:anchorId="5BC6BEEC" wp14:editId="729759BE">
            <wp:extent cx="6003235" cy="133581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5528" r="1180"/>
                    <a:stretch/>
                  </pic:blipFill>
                  <pic:spPr bwMode="auto">
                    <a:xfrm>
                      <a:off x="0" y="0"/>
                      <a:ext cx="6011212" cy="1337594"/>
                    </a:xfrm>
                    <a:prstGeom prst="rect">
                      <a:avLst/>
                    </a:prstGeom>
                    <a:ln>
                      <a:noFill/>
                    </a:ln>
                    <a:extLst>
                      <a:ext uri="{53640926-AAD7-44D8-BBD7-CCE9431645EC}">
                        <a14:shadowObscured xmlns:a14="http://schemas.microsoft.com/office/drawing/2010/main"/>
                      </a:ext>
                    </a:extLst>
                  </pic:spPr>
                </pic:pic>
              </a:graphicData>
            </a:graphic>
          </wp:inline>
        </w:drawing>
      </w:r>
      <w:r w:rsidR="00D30AF9">
        <w:rPr>
          <w:noProof/>
          <w:lang w:eastAsia="fr-FR"/>
        </w:rPr>
        <w:drawing>
          <wp:inline distT="0" distB="0" distL="0" distR="0" wp14:anchorId="5F5D82F3" wp14:editId="4BF69B44">
            <wp:extent cx="4872437" cy="120859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1" r="-5290" b="5591"/>
                    <a:stretch/>
                  </pic:blipFill>
                  <pic:spPr bwMode="auto">
                    <a:xfrm>
                      <a:off x="0" y="0"/>
                      <a:ext cx="4892351" cy="1213538"/>
                    </a:xfrm>
                    <a:prstGeom prst="rect">
                      <a:avLst/>
                    </a:prstGeom>
                    <a:ln>
                      <a:noFill/>
                    </a:ln>
                    <a:extLst>
                      <a:ext uri="{53640926-AAD7-44D8-BBD7-CCE9431645EC}">
                        <a14:shadowObscured xmlns:a14="http://schemas.microsoft.com/office/drawing/2010/main"/>
                      </a:ext>
                    </a:extLst>
                  </pic:spPr>
                </pic:pic>
              </a:graphicData>
            </a:graphic>
          </wp:inline>
        </w:drawing>
      </w:r>
    </w:p>
    <w:p w:rsidR="00C812DC" w:rsidRPr="00B61C00" w:rsidRDefault="00B61C00" w:rsidP="00B61C00">
      <w:pPr>
        <w:keepNext/>
        <w:jc w:val="center"/>
        <w:rPr>
          <w:rFonts w:ascii="Calibri" w:eastAsia="Times New Roman" w:hAnsi="Calibri" w:cs="Times New Roman"/>
          <w:b/>
          <w:bCs/>
          <w:sz w:val="18"/>
          <w:szCs w:val="18"/>
          <w:lang w:eastAsia="fr-FR"/>
        </w:rPr>
      </w:pPr>
      <w:r w:rsidRPr="00B61C00">
        <w:rPr>
          <w:rFonts w:ascii="Calibri" w:eastAsia="Times New Roman" w:hAnsi="Calibri" w:cs="Times New Roman"/>
          <w:b/>
          <w:bCs/>
          <w:sz w:val="18"/>
          <w:szCs w:val="18"/>
          <w:lang w:eastAsia="fr-FR"/>
        </w:rPr>
        <w:t xml:space="preserve">Figure </w:t>
      </w:r>
      <w:r w:rsidRPr="00B61C00">
        <w:rPr>
          <w:rFonts w:ascii="Calibri" w:eastAsia="Times New Roman" w:hAnsi="Calibri" w:cs="Times New Roman"/>
          <w:b/>
          <w:bCs/>
          <w:sz w:val="18"/>
          <w:szCs w:val="18"/>
          <w:lang w:eastAsia="fr-FR"/>
        </w:rPr>
        <w:fldChar w:fldCharType="begin"/>
      </w:r>
      <w:r w:rsidRPr="00B61C00">
        <w:rPr>
          <w:rFonts w:ascii="Calibri" w:eastAsia="Times New Roman" w:hAnsi="Calibri" w:cs="Times New Roman"/>
          <w:b/>
          <w:bCs/>
          <w:sz w:val="18"/>
          <w:szCs w:val="18"/>
          <w:lang w:eastAsia="fr-FR"/>
        </w:rPr>
        <w:instrText xml:space="preserve"> SEQ Figure \* ARABIC </w:instrText>
      </w:r>
      <w:r w:rsidRPr="00B61C00">
        <w:rPr>
          <w:rFonts w:ascii="Calibri" w:eastAsia="Times New Roman" w:hAnsi="Calibri" w:cs="Times New Roman"/>
          <w:b/>
          <w:bCs/>
          <w:sz w:val="18"/>
          <w:szCs w:val="18"/>
          <w:lang w:eastAsia="fr-FR"/>
        </w:rPr>
        <w:fldChar w:fldCharType="separate"/>
      </w:r>
      <w:r w:rsidR="001C3E85">
        <w:rPr>
          <w:rFonts w:ascii="Calibri" w:eastAsia="Times New Roman" w:hAnsi="Calibri" w:cs="Times New Roman"/>
          <w:b/>
          <w:bCs/>
          <w:noProof/>
          <w:sz w:val="18"/>
          <w:szCs w:val="18"/>
          <w:lang w:eastAsia="fr-FR"/>
        </w:rPr>
        <w:t>4</w:t>
      </w:r>
      <w:r w:rsidRPr="00B61C00">
        <w:rPr>
          <w:rFonts w:ascii="Calibri" w:eastAsia="Times New Roman" w:hAnsi="Calibri" w:cs="Times New Roman"/>
          <w:b/>
          <w:bCs/>
          <w:sz w:val="18"/>
          <w:szCs w:val="18"/>
          <w:lang w:eastAsia="fr-FR"/>
        </w:rPr>
        <w:fldChar w:fldCharType="end"/>
      </w:r>
      <w:r w:rsidRPr="00B61C00">
        <w:rPr>
          <w:rFonts w:ascii="Calibri" w:eastAsia="Times New Roman" w:hAnsi="Calibri" w:cs="Times New Roman"/>
          <w:b/>
          <w:bCs/>
          <w:sz w:val="18"/>
          <w:szCs w:val="18"/>
          <w:lang w:eastAsia="fr-FR"/>
        </w:rPr>
        <w:t>: Adhésions par heure de la journée</w:t>
      </w:r>
    </w:p>
    <w:p w:rsidR="00F6330E" w:rsidRDefault="00F6330E" w:rsidP="00363131">
      <w:pPr>
        <w:jc w:val="both"/>
        <w:rPr>
          <w:lang w:eastAsia="fr-FR"/>
        </w:rPr>
      </w:pPr>
      <w:r>
        <w:rPr>
          <w:lang w:eastAsia="fr-FR"/>
        </w:rPr>
        <w:t xml:space="preserve">Sur une période de temps </w:t>
      </w:r>
      <w:r w:rsidR="001F6774">
        <w:rPr>
          <w:lang w:eastAsia="fr-FR"/>
        </w:rPr>
        <w:t xml:space="preserve">suffisamment </w:t>
      </w:r>
      <w:r>
        <w:rPr>
          <w:lang w:eastAsia="fr-FR"/>
        </w:rPr>
        <w:t xml:space="preserve">faible au regard de la tendance </w:t>
      </w:r>
      <w:r w:rsidR="0044329F">
        <w:rPr>
          <w:lang w:eastAsia="fr-FR"/>
        </w:rPr>
        <w:t xml:space="preserve">de fond </w:t>
      </w:r>
      <w:r>
        <w:rPr>
          <w:lang w:eastAsia="fr-FR"/>
        </w:rPr>
        <w:t>à l’accroissement</w:t>
      </w:r>
      <w:r w:rsidR="0044329F">
        <w:rPr>
          <w:lang w:eastAsia="fr-FR"/>
        </w:rPr>
        <w:t xml:space="preserve"> (</w:t>
      </w:r>
      <w:r w:rsidR="008B7CD0">
        <w:rPr>
          <w:lang w:eastAsia="fr-FR"/>
        </w:rPr>
        <w:t>≤</w:t>
      </w:r>
      <w:r w:rsidR="0044329F">
        <w:rPr>
          <w:lang w:eastAsia="fr-FR"/>
        </w:rPr>
        <w:t>3 mois par exemple)</w:t>
      </w:r>
      <w:r>
        <w:rPr>
          <w:lang w:eastAsia="fr-FR"/>
        </w:rPr>
        <w:t xml:space="preserve">, le nombre d’adhésions </w:t>
      </w:r>
      <w:r w:rsidR="00AC3867">
        <w:rPr>
          <w:lang w:eastAsia="fr-FR"/>
        </w:rPr>
        <w:t>horaire</w:t>
      </w:r>
      <w:r>
        <w:rPr>
          <w:lang w:eastAsia="fr-FR"/>
        </w:rPr>
        <w:t xml:space="preserve"> suit une </w:t>
      </w:r>
      <w:r w:rsidR="00AC3867">
        <w:rPr>
          <w:lang w:eastAsia="fr-FR"/>
        </w:rPr>
        <w:t>loi</w:t>
      </w:r>
      <w:r>
        <w:rPr>
          <w:lang w:eastAsia="fr-FR"/>
        </w:rPr>
        <w:t xml:space="preserve"> de </w:t>
      </w:r>
      <w:r w:rsidRPr="004D3D57">
        <w:rPr>
          <w:b/>
          <w:lang w:eastAsia="fr-FR"/>
        </w:rPr>
        <w:t>Poisson</w:t>
      </w:r>
      <w:r>
        <w:rPr>
          <w:lang w:eastAsia="fr-FR"/>
        </w:rPr>
        <w:t xml:space="preserve">, dont le paramètre </w:t>
      </w:r>
      <m:oMath>
        <m:r>
          <m:rPr>
            <m:sty m:val="p"/>
          </m:rPr>
          <w:rPr>
            <w:rFonts w:ascii="Cambria Math" w:hAnsi="Cambria Math" w:cs="Arial"/>
            <w:color w:val="545454"/>
            <w:shd w:val="clear" w:color="auto" w:fill="FFFFFF"/>
          </w:rPr>
          <m:t>λ</m:t>
        </m:r>
      </m:oMath>
      <w:r>
        <w:rPr>
          <w:lang w:eastAsia="fr-FR"/>
        </w:rPr>
        <w:t xml:space="preserve"> varie </w:t>
      </w:r>
      <w:r w:rsidR="00AA451D">
        <w:rPr>
          <w:lang w:eastAsia="fr-FR"/>
        </w:rPr>
        <w:t>diffère</w:t>
      </w:r>
      <w:r>
        <w:rPr>
          <w:lang w:eastAsia="fr-FR"/>
        </w:rPr>
        <w:t xml:space="preserve"> l’heure de la journée</w:t>
      </w:r>
      <w:r w:rsidR="00B63785">
        <w:rPr>
          <w:lang w:eastAsia="fr-FR"/>
        </w:rPr>
        <w:t xml:space="preserve"> (une loi </w:t>
      </w:r>
      <w:r w:rsidR="00C74AF5">
        <w:rPr>
          <w:b/>
          <w:lang w:eastAsia="fr-FR"/>
        </w:rPr>
        <w:t>exponentielle</w:t>
      </w:r>
      <w:r w:rsidR="00B63785">
        <w:rPr>
          <w:lang w:eastAsia="fr-FR"/>
        </w:rPr>
        <w:t xml:space="preserve"> est aussi adaptée)</w:t>
      </w:r>
      <w:r>
        <w:rPr>
          <w:lang w:eastAsia="fr-FR"/>
        </w:rPr>
        <w:t>.</w:t>
      </w:r>
      <w:r w:rsidR="004D3D57">
        <w:rPr>
          <w:lang w:eastAsia="fr-FR"/>
        </w:rPr>
        <w:t xml:space="preserve"> </w:t>
      </w:r>
    </w:p>
    <w:p w:rsidR="0010197A" w:rsidRDefault="0010197A" w:rsidP="0010197A">
      <w:pPr>
        <w:pStyle w:val="Sous-titre"/>
      </w:pPr>
      <w:r>
        <w:t>Saisonnalité mensuelle</w:t>
      </w:r>
    </w:p>
    <w:p w:rsidR="0010197A" w:rsidRDefault="0010197A" w:rsidP="00363131">
      <w:pPr>
        <w:jc w:val="both"/>
        <w:rPr>
          <w:lang w:eastAsia="fr-FR"/>
        </w:rPr>
      </w:pPr>
      <w:r>
        <w:rPr>
          <w:lang w:eastAsia="fr-FR"/>
        </w:rPr>
        <w:t xml:space="preserve">La série </w:t>
      </w:r>
      <w:r w:rsidR="00124A18">
        <w:rPr>
          <w:lang w:eastAsia="fr-FR"/>
        </w:rPr>
        <w:t>des adhésions</w:t>
      </w:r>
      <w:r>
        <w:rPr>
          <w:lang w:eastAsia="fr-FR"/>
        </w:rPr>
        <w:t xml:space="preserve"> journalière</w:t>
      </w:r>
      <w:r w:rsidR="00124A18">
        <w:rPr>
          <w:lang w:eastAsia="fr-FR"/>
        </w:rPr>
        <w:t>s</w:t>
      </w:r>
      <w:r>
        <w:rPr>
          <w:lang w:eastAsia="fr-FR"/>
        </w:rPr>
        <w:t xml:space="preserve"> montre un </w:t>
      </w:r>
      <w:r w:rsidR="00124A18">
        <w:rPr>
          <w:lang w:eastAsia="fr-FR"/>
        </w:rPr>
        <w:t>effet très significatif</w:t>
      </w:r>
      <w:r>
        <w:rPr>
          <w:lang w:eastAsia="fr-FR"/>
        </w:rPr>
        <w:t xml:space="preserve"> avec la saison « été »</w:t>
      </w:r>
      <w:r w:rsidR="00AA745F">
        <w:rPr>
          <w:lang w:eastAsia="fr-FR"/>
        </w:rPr>
        <w:t xml:space="preserve"> (ainsi qu’une légère autocorrélation annuelle)</w:t>
      </w:r>
      <w:r>
        <w:rPr>
          <w:lang w:eastAsia="fr-FR"/>
        </w:rPr>
        <w:t xml:space="preserve">, </w:t>
      </w:r>
      <w:r w:rsidR="00124A18">
        <w:rPr>
          <w:lang w:eastAsia="fr-FR"/>
        </w:rPr>
        <w:t xml:space="preserve">qui entre début juin et fin août en moyenne accuse une dynamique plus faible (moitié moins </w:t>
      </w:r>
      <w:r w:rsidR="008B7CD0">
        <w:rPr>
          <w:lang w:eastAsia="fr-FR"/>
        </w:rPr>
        <w:t xml:space="preserve">d’adhésions </w:t>
      </w:r>
      <w:r w:rsidR="00124A18">
        <w:rPr>
          <w:lang w:eastAsia="fr-FR"/>
        </w:rPr>
        <w:t>que sur le reste de l’année). Une partie de cet écart vient également du fait que les campagnes électorales</w:t>
      </w:r>
      <w:r w:rsidR="003530B3">
        <w:rPr>
          <w:lang w:eastAsia="fr-FR"/>
        </w:rPr>
        <w:t>, sources de notoriété,</w:t>
      </w:r>
      <w:r w:rsidR="00124A18">
        <w:rPr>
          <w:lang w:eastAsia="fr-FR"/>
        </w:rPr>
        <w:t xml:space="preserve"> n</w:t>
      </w:r>
      <w:r w:rsidR="008B7CD0">
        <w:rPr>
          <w:lang w:eastAsia="fr-FR"/>
        </w:rPr>
        <w:t>’ont pas lieu</w:t>
      </w:r>
      <w:r w:rsidR="00124A18">
        <w:rPr>
          <w:lang w:eastAsia="fr-FR"/>
        </w:rPr>
        <w:t xml:space="preserve"> en été. </w:t>
      </w:r>
    </w:p>
    <w:p w:rsidR="00A40E23" w:rsidRDefault="00A40E23" w:rsidP="00A40E23">
      <w:pPr>
        <w:pStyle w:val="Sous-titre"/>
      </w:pPr>
      <w:r>
        <w:t>Corrélation avec des facteurs externes</w:t>
      </w:r>
    </w:p>
    <w:p w:rsidR="00FC115D" w:rsidRDefault="006C74FB" w:rsidP="00363131">
      <w:pPr>
        <w:jc w:val="both"/>
        <w:rPr>
          <w:lang w:eastAsia="fr-FR"/>
        </w:rPr>
      </w:pPr>
      <w:r>
        <w:rPr>
          <w:lang w:eastAsia="fr-FR"/>
        </w:rPr>
        <w:t xml:space="preserve">Afin de déterminer si la dynamique d’adhésion </w:t>
      </w:r>
      <w:r w:rsidR="00E658B5">
        <w:rPr>
          <w:lang w:eastAsia="fr-FR"/>
        </w:rPr>
        <w:t xml:space="preserve">journalière </w:t>
      </w:r>
      <w:r w:rsidR="00AA745F">
        <w:rPr>
          <w:lang w:eastAsia="fr-FR"/>
        </w:rPr>
        <w:t>peut</w:t>
      </w:r>
      <w:r>
        <w:rPr>
          <w:lang w:eastAsia="fr-FR"/>
        </w:rPr>
        <w:t xml:space="preserve"> être corrélée à une notoriété médiatique, nous avons </w:t>
      </w:r>
      <w:r w:rsidR="00615D9F">
        <w:rPr>
          <w:lang w:eastAsia="fr-FR"/>
        </w:rPr>
        <w:t>récupéré</w:t>
      </w:r>
      <w:r>
        <w:rPr>
          <w:lang w:eastAsia="fr-FR"/>
        </w:rPr>
        <w:t xml:space="preserve"> les </w:t>
      </w:r>
      <w:r w:rsidR="00615D9F">
        <w:rPr>
          <w:lang w:eastAsia="fr-FR"/>
        </w:rPr>
        <w:t>d</w:t>
      </w:r>
      <w:r w:rsidR="008B7CD0">
        <w:rPr>
          <w:lang w:eastAsia="fr-FR"/>
        </w:rPr>
        <w:t>onnées de notoriété de mots-</w:t>
      </w:r>
      <w:r w:rsidR="00615D9F">
        <w:rPr>
          <w:lang w:eastAsia="fr-FR"/>
        </w:rPr>
        <w:t>clé</w:t>
      </w:r>
      <w:r w:rsidR="008B7CD0">
        <w:rPr>
          <w:lang w:eastAsia="fr-FR"/>
        </w:rPr>
        <w:t>s</w:t>
      </w:r>
      <w:r w:rsidR="00615D9F">
        <w:rPr>
          <w:lang w:eastAsia="fr-FR"/>
        </w:rPr>
        <w:t xml:space="preserve"> sur le site </w:t>
      </w:r>
      <w:hyperlink r:id="rId16" w:history="1">
        <w:r w:rsidR="00615D9F" w:rsidRPr="00615D9F">
          <w:rPr>
            <w:rStyle w:val="Lienhypertexte"/>
            <w:lang w:eastAsia="fr-FR"/>
          </w:rPr>
          <w:t>Google Trends</w:t>
        </w:r>
      </w:hyperlink>
      <w:r w:rsidR="00615D9F">
        <w:rPr>
          <w:lang w:eastAsia="fr-FR"/>
        </w:rPr>
        <w:t xml:space="preserve">. </w:t>
      </w:r>
    </w:p>
    <w:p w:rsidR="00FC115D" w:rsidRDefault="00E658B5" w:rsidP="00363131">
      <w:pPr>
        <w:jc w:val="both"/>
        <w:rPr>
          <w:lang w:eastAsia="fr-FR"/>
        </w:rPr>
      </w:pPr>
      <w:r>
        <w:rPr>
          <w:lang w:eastAsia="fr-FR"/>
        </w:rPr>
        <w:t>Les données de Google Trends sont en accès libre sous quota, pour n’importe quel mot clé suffisamment requêté depuis janvier 2004, à une échelle journalière. Du fait de la contamination par d’éventuelles recherches homonymes dans d’autres endroits du monde, on se limite aux recherches sur la zone France (</w:t>
      </w:r>
      <w:r w:rsidR="00AA745F">
        <w:rPr>
          <w:lang w:eastAsia="fr-FR"/>
        </w:rPr>
        <w:t>les recherches par des expatriés sont donc exclues</w:t>
      </w:r>
      <w:r w:rsidR="00737179">
        <w:rPr>
          <w:lang w:eastAsia="fr-FR"/>
        </w:rPr>
        <w:t>, ce qui n’est pas anodin car 6% des adhérents seraient des expatriés</w:t>
      </w:r>
      <w:r>
        <w:rPr>
          <w:lang w:eastAsia="fr-FR"/>
        </w:rPr>
        <w:t>).</w:t>
      </w:r>
      <w:r w:rsidR="00AA745F">
        <w:rPr>
          <w:lang w:eastAsia="fr-FR"/>
        </w:rPr>
        <w:t xml:space="preserve"> Les données sont téléchargées par le biais du package R </w:t>
      </w:r>
      <w:r w:rsidR="00325495">
        <w:rPr>
          <w:lang w:eastAsia="fr-FR"/>
        </w:rPr>
        <w:t>« </w:t>
      </w:r>
      <w:proofErr w:type="spellStart"/>
      <w:r w:rsidR="00AA745F">
        <w:rPr>
          <w:lang w:eastAsia="fr-FR"/>
        </w:rPr>
        <w:fldChar w:fldCharType="begin"/>
      </w:r>
      <w:r w:rsidR="00AA745F">
        <w:rPr>
          <w:lang w:eastAsia="fr-FR"/>
        </w:rPr>
        <w:instrText xml:space="preserve"> HYPERLINK "https://cran.r-project.org/web/packages/gtrendsR/gtrendsR.pdf" </w:instrText>
      </w:r>
      <w:r w:rsidR="00AA745F">
        <w:rPr>
          <w:lang w:eastAsia="fr-FR"/>
        </w:rPr>
        <w:fldChar w:fldCharType="separate"/>
      </w:r>
      <w:r w:rsidR="00AA745F" w:rsidRPr="00AA745F">
        <w:rPr>
          <w:rStyle w:val="Lienhypertexte"/>
          <w:lang w:eastAsia="fr-FR"/>
        </w:rPr>
        <w:t>gtrendsR</w:t>
      </w:r>
      <w:proofErr w:type="spellEnd"/>
      <w:r w:rsidR="00AA745F">
        <w:rPr>
          <w:lang w:eastAsia="fr-FR"/>
        </w:rPr>
        <w:fldChar w:fldCharType="end"/>
      </w:r>
      <w:r w:rsidR="00325495">
        <w:rPr>
          <w:lang w:eastAsia="fr-FR"/>
        </w:rPr>
        <w:t> »</w:t>
      </w:r>
      <w:r w:rsidR="007C7F1C">
        <w:rPr>
          <w:lang w:eastAsia="fr-FR"/>
        </w:rPr>
        <w:t xml:space="preserve"> pour deux mots-clés : « </w:t>
      </w:r>
      <w:proofErr w:type="spellStart"/>
      <w:r w:rsidR="007C7F1C" w:rsidRPr="00217D1F">
        <w:rPr>
          <w:i/>
          <w:lang w:eastAsia="fr-FR"/>
        </w:rPr>
        <w:t>upr</w:t>
      </w:r>
      <w:proofErr w:type="spellEnd"/>
      <w:r w:rsidR="007C7F1C">
        <w:rPr>
          <w:lang w:eastAsia="fr-FR"/>
        </w:rPr>
        <w:t> » et « </w:t>
      </w:r>
      <w:proofErr w:type="spellStart"/>
      <w:r w:rsidR="007C7F1C" w:rsidRPr="00217D1F">
        <w:rPr>
          <w:i/>
          <w:lang w:eastAsia="fr-FR"/>
        </w:rPr>
        <w:t>asselineau</w:t>
      </w:r>
      <w:proofErr w:type="spellEnd"/>
      <w:r w:rsidR="007C7F1C">
        <w:rPr>
          <w:lang w:eastAsia="fr-FR"/>
        </w:rPr>
        <w:t> », ce dernier</w:t>
      </w:r>
      <w:r w:rsidR="00737179">
        <w:rPr>
          <w:lang w:eastAsia="fr-FR"/>
        </w:rPr>
        <w:t xml:space="preserve"> étant</w:t>
      </w:r>
      <w:r w:rsidR="007C7F1C">
        <w:rPr>
          <w:lang w:eastAsia="fr-FR"/>
        </w:rPr>
        <w:t xml:space="preserve"> le nom du fondateur et principale figure médiatique du mouvement</w:t>
      </w:r>
      <w:r w:rsidR="00AA745F">
        <w:rPr>
          <w:lang w:eastAsia="fr-FR"/>
        </w:rPr>
        <w:t>.</w:t>
      </w:r>
    </w:p>
    <w:p w:rsidR="0082579D" w:rsidRPr="00AA745F" w:rsidRDefault="0082579D" w:rsidP="0082579D">
      <w:pPr>
        <w:rPr>
          <w:sz w:val="2"/>
          <w:lang w:eastAsia="fr-FR"/>
        </w:rPr>
      </w:pPr>
    </w:p>
    <w:p w:rsidR="002D2D4D" w:rsidRDefault="0082579D" w:rsidP="005B6DCA">
      <w:pPr>
        <w:jc w:val="both"/>
        <w:rPr>
          <w:lang w:eastAsia="fr-FR"/>
        </w:rPr>
      </w:pPr>
      <w:r>
        <w:rPr>
          <w:lang w:eastAsia="fr-FR"/>
        </w:rPr>
        <w:lastRenderedPageBreak/>
        <w:t>La corrélation entre les recherches « </w:t>
      </w:r>
      <w:proofErr w:type="spellStart"/>
      <w:r w:rsidRPr="003D491D">
        <w:rPr>
          <w:i/>
          <w:lang w:eastAsia="fr-FR"/>
        </w:rPr>
        <w:t>upr</w:t>
      </w:r>
      <w:proofErr w:type="spellEnd"/>
      <w:r>
        <w:rPr>
          <w:lang w:eastAsia="fr-FR"/>
        </w:rPr>
        <w:t> » et « </w:t>
      </w:r>
      <w:proofErr w:type="spellStart"/>
      <w:r w:rsidRPr="003D491D">
        <w:rPr>
          <w:i/>
          <w:lang w:eastAsia="fr-FR"/>
        </w:rPr>
        <w:t>asselineau</w:t>
      </w:r>
      <w:proofErr w:type="spellEnd"/>
      <w:r>
        <w:rPr>
          <w:lang w:eastAsia="fr-FR"/>
        </w:rPr>
        <w:t> » sont bonnes (</w:t>
      </w:r>
      <m:oMath>
        <m:r>
          <w:rPr>
            <w:rFonts w:ascii="Cambria Math" w:hAnsi="Cambria Math"/>
            <w:lang w:eastAsia="fr-FR"/>
          </w:rPr>
          <m:t>0.65</m:t>
        </m:r>
      </m:oMath>
      <w:r>
        <w:rPr>
          <w:lang w:eastAsia="fr-FR"/>
        </w:rPr>
        <w:t>). La corrélation avec le nombre d’adhérents est légèrement meilleure pour « </w:t>
      </w:r>
      <w:proofErr w:type="spellStart"/>
      <w:r w:rsidRPr="003D491D">
        <w:rPr>
          <w:i/>
          <w:lang w:eastAsia="fr-FR"/>
        </w:rPr>
        <w:t>upr</w:t>
      </w:r>
      <w:proofErr w:type="spellEnd"/>
      <w:r>
        <w:rPr>
          <w:lang w:eastAsia="fr-FR"/>
        </w:rPr>
        <w:t> » (</w:t>
      </w:r>
      <m:oMath>
        <m:r>
          <w:rPr>
            <w:rFonts w:ascii="Cambria Math" w:hAnsi="Cambria Math"/>
            <w:lang w:eastAsia="fr-FR"/>
          </w:rPr>
          <m:t>0.67</m:t>
        </m:r>
      </m:oMath>
      <w:r>
        <w:rPr>
          <w:lang w:eastAsia="fr-FR"/>
        </w:rPr>
        <w:t>) que pour « </w:t>
      </w:r>
      <w:proofErr w:type="spellStart"/>
      <w:r w:rsidRPr="003D491D">
        <w:rPr>
          <w:i/>
          <w:lang w:eastAsia="fr-FR"/>
        </w:rPr>
        <w:t>asselineau</w:t>
      </w:r>
      <w:proofErr w:type="spellEnd"/>
      <w:r>
        <w:rPr>
          <w:lang w:eastAsia="fr-FR"/>
        </w:rPr>
        <w:t> » (</w:t>
      </w:r>
      <m:oMath>
        <m:r>
          <w:rPr>
            <w:rFonts w:ascii="Cambria Math" w:hAnsi="Cambria Math"/>
            <w:lang w:eastAsia="fr-FR"/>
          </w:rPr>
          <m:t>0.64</m:t>
        </m:r>
      </m:oMath>
      <w:r>
        <w:rPr>
          <w:lang w:eastAsia="fr-FR"/>
        </w:rPr>
        <w:t>).</w:t>
      </w:r>
      <w:r w:rsidR="005B6DCA">
        <w:rPr>
          <w:lang w:eastAsia="fr-FR"/>
        </w:rPr>
        <w:t xml:space="preserve"> </w:t>
      </w:r>
      <w:r w:rsidR="00325495">
        <w:rPr>
          <w:lang w:eastAsia="fr-FR"/>
        </w:rPr>
        <w:t xml:space="preserve">Le </w:t>
      </w:r>
      <w:r w:rsidR="002D2D4D">
        <w:rPr>
          <w:lang w:eastAsia="fr-FR"/>
        </w:rPr>
        <w:t xml:space="preserve">deux termes ont des </w:t>
      </w:r>
      <w:r w:rsidR="00325495">
        <w:rPr>
          <w:lang w:eastAsia="fr-FR"/>
        </w:rPr>
        <w:t>volume</w:t>
      </w:r>
      <w:r w:rsidR="002D2D4D">
        <w:rPr>
          <w:lang w:eastAsia="fr-FR"/>
        </w:rPr>
        <w:t>s</w:t>
      </w:r>
      <w:r w:rsidR="00325495">
        <w:rPr>
          <w:lang w:eastAsia="fr-FR"/>
        </w:rPr>
        <w:t xml:space="preserve"> de recherche</w:t>
      </w:r>
      <w:r w:rsidR="00720A9D">
        <w:rPr>
          <w:lang w:eastAsia="fr-FR"/>
        </w:rPr>
        <w:t xml:space="preserve"> semblable</w:t>
      </w:r>
      <w:r w:rsidR="007C7F1C">
        <w:rPr>
          <w:lang w:eastAsia="fr-FR"/>
        </w:rPr>
        <w:t>s</w:t>
      </w:r>
      <w:r w:rsidR="00720A9D">
        <w:rPr>
          <w:lang w:eastAsia="fr-FR"/>
        </w:rPr>
        <w:t xml:space="preserve"> pendant plusieurs années, illustrant </w:t>
      </w:r>
      <w:r w:rsidR="007C7F1C">
        <w:rPr>
          <w:lang w:eastAsia="fr-FR"/>
        </w:rPr>
        <w:t xml:space="preserve">le fait </w:t>
      </w:r>
      <w:r w:rsidR="00720A9D">
        <w:rPr>
          <w:lang w:eastAsia="fr-FR"/>
        </w:rPr>
        <w:t xml:space="preserve">que le mouvement politique </w:t>
      </w:r>
      <w:r w:rsidR="00647EB2">
        <w:rPr>
          <w:lang w:eastAsia="fr-FR"/>
        </w:rPr>
        <w:t>s’est fondé en identification</w:t>
      </w:r>
      <w:r w:rsidR="00720A9D">
        <w:rPr>
          <w:lang w:eastAsia="fr-FR"/>
        </w:rPr>
        <w:t xml:space="preserve"> à son</w:t>
      </w:r>
      <w:r w:rsidR="00647EB2">
        <w:rPr>
          <w:lang w:eastAsia="fr-FR"/>
        </w:rPr>
        <w:t xml:space="preserve"> fondateur et principal conférencier</w:t>
      </w:r>
      <w:r w:rsidR="00720A9D">
        <w:rPr>
          <w:lang w:eastAsia="fr-FR"/>
        </w:rPr>
        <w:t xml:space="preserve"> ; c’est encore plus flagrant lors de l’élection présidentielle de 2012 </w:t>
      </w:r>
      <w:r w:rsidR="002D2D4D">
        <w:rPr>
          <w:lang w:eastAsia="fr-FR"/>
        </w:rPr>
        <w:t xml:space="preserve"> </w:t>
      </w:r>
      <w:r w:rsidR="00720A9D">
        <w:rPr>
          <w:lang w:eastAsia="fr-FR"/>
        </w:rPr>
        <w:t>qui voit la notoriété de « </w:t>
      </w:r>
      <w:proofErr w:type="spellStart"/>
      <w:r w:rsidR="00720A9D" w:rsidRPr="003D491D">
        <w:rPr>
          <w:i/>
          <w:lang w:eastAsia="fr-FR"/>
        </w:rPr>
        <w:t>asselineau</w:t>
      </w:r>
      <w:proofErr w:type="spellEnd"/>
      <w:r w:rsidR="00720A9D">
        <w:rPr>
          <w:lang w:eastAsia="fr-FR"/>
        </w:rPr>
        <w:t> » largement dépasser celle de « </w:t>
      </w:r>
      <w:proofErr w:type="spellStart"/>
      <w:r w:rsidR="00720A9D" w:rsidRPr="003D491D">
        <w:rPr>
          <w:i/>
          <w:lang w:eastAsia="fr-FR"/>
        </w:rPr>
        <w:t>upr</w:t>
      </w:r>
      <w:proofErr w:type="spellEnd"/>
      <w:r w:rsidR="00720A9D">
        <w:rPr>
          <w:lang w:eastAsia="fr-FR"/>
        </w:rPr>
        <w:t xml:space="preserve"> », ce qui n’arrivera plus jamais par la suite, signe que </w:t>
      </w:r>
      <w:r w:rsidR="00647EB2">
        <w:rPr>
          <w:lang w:eastAsia="fr-FR"/>
        </w:rPr>
        <w:t>le parti lui-même devient prépondérant sur son dirigeant (ce qui est bon signe pour sa pérennité)</w:t>
      </w:r>
      <w:r w:rsidR="00720A9D">
        <w:rPr>
          <w:lang w:eastAsia="fr-FR"/>
        </w:rPr>
        <w:t>. A ce titre, le type d’élection n’est pas anodin puisque déjà la pré-campagne  présidentielle 2017 voit le volume « </w:t>
      </w:r>
      <w:proofErr w:type="spellStart"/>
      <w:r w:rsidR="00720A9D" w:rsidRPr="003D491D">
        <w:rPr>
          <w:i/>
          <w:lang w:eastAsia="fr-FR"/>
        </w:rPr>
        <w:t>asselineau</w:t>
      </w:r>
      <w:proofErr w:type="spellEnd"/>
      <w:r w:rsidR="00720A9D">
        <w:rPr>
          <w:lang w:eastAsia="fr-FR"/>
        </w:rPr>
        <w:t> » progressivement rattraper « </w:t>
      </w:r>
      <w:proofErr w:type="spellStart"/>
      <w:r w:rsidR="00720A9D" w:rsidRPr="003D491D">
        <w:rPr>
          <w:i/>
          <w:lang w:eastAsia="fr-FR"/>
        </w:rPr>
        <w:t>upr</w:t>
      </w:r>
      <w:proofErr w:type="spellEnd"/>
      <w:r w:rsidR="00720A9D">
        <w:rPr>
          <w:lang w:eastAsia="fr-FR"/>
        </w:rPr>
        <w:t> », alors que les élections plus locales focalis</w:t>
      </w:r>
      <w:r w:rsidR="00217D1F">
        <w:rPr>
          <w:lang w:eastAsia="fr-FR"/>
        </w:rPr>
        <w:t>ai</w:t>
      </w:r>
      <w:r w:rsidR="00720A9D">
        <w:rPr>
          <w:lang w:eastAsia="fr-FR"/>
        </w:rPr>
        <w:t xml:space="preserve">ent les recherches sur le parti et non sur son dirigeant.  </w:t>
      </w:r>
    </w:p>
    <w:p w:rsidR="008B7CD0" w:rsidRDefault="008B7CD0" w:rsidP="008B7CD0">
      <w:pPr>
        <w:pStyle w:val="Sansinterligne"/>
        <w:rPr>
          <w:noProof/>
          <w:lang w:eastAsia="fr-FR"/>
        </w:rPr>
      </w:pPr>
      <w:r>
        <w:rPr>
          <w:noProof/>
          <w:lang w:eastAsia="fr-FR"/>
        </w:rPr>
        <w:drawing>
          <wp:inline distT="0" distB="0" distL="0" distR="0" wp14:anchorId="16D18C74" wp14:editId="0005E901">
            <wp:extent cx="5760720" cy="2286894"/>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2286894"/>
                    </a:xfrm>
                    <a:prstGeom prst="rect">
                      <a:avLst/>
                    </a:prstGeom>
                  </pic:spPr>
                </pic:pic>
              </a:graphicData>
            </a:graphic>
          </wp:inline>
        </w:drawing>
      </w:r>
    </w:p>
    <w:p w:rsidR="008B7CD0" w:rsidRDefault="008B7CD0" w:rsidP="008B7CD0">
      <w:pPr>
        <w:pStyle w:val="Lgende"/>
        <w:jc w:val="center"/>
      </w:pPr>
      <w:r>
        <w:t xml:space="preserve">Figure </w:t>
      </w:r>
      <w:r w:rsidR="001C3E85">
        <w:fldChar w:fldCharType="begin"/>
      </w:r>
      <w:r w:rsidR="001C3E85">
        <w:instrText xml:space="preserve"> SEQ Figure \* ARABIC </w:instrText>
      </w:r>
      <w:r w:rsidR="001C3E85">
        <w:fldChar w:fldCharType="separate"/>
      </w:r>
      <w:r w:rsidR="001C3E85">
        <w:rPr>
          <w:noProof/>
        </w:rPr>
        <w:t>5</w:t>
      </w:r>
      <w:r w:rsidR="001C3E85">
        <w:rPr>
          <w:noProof/>
        </w:rPr>
        <w:fldChar w:fldCharType="end"/>
      </w:r>
      <w:r>
        <w:t>: évolution des adhésions (échelle à gauche) et des recherches Google (échelle relative) et élections (pointillé rouge) : EU(2009), REG(2010), PRES+LEG(2012), EU(2014), REG(2015), BREXIT(2016)</w:t>
      </w:r>
      <w:r w:rsidR="00120CA4">
        <w:t>*</w:t>
      </w:r>
      <w:r>
        <w:t>, USA(2016)</w:t>
      </w:r>
      <w:r w:rsidR="00120CA4">
        <w:t>*</w:t>
      </w:r>
    </w:p>
    <w:p w:rsidR="008B7CD0" w:rsidRPr="008B7CD0" w:rsidRDefault="008B7CD0" w:rsidP="005B6DCA">
      <w:pPr>
        <w:jc w:val="both"/>
        <w:rPr>
          <w:b/>
          <w:sz w:val="2"/>
          <w:lang w:eastAsia="fr-FR"/>
        </w:rPr>
      </w:pPr>
    </w:p>
    <w:p w:rsidR="00120CA4" w:rsidRPr="00B12930" w:rsidRDefault="00B12930" w:rsidP="005B6DCA">
      <w:pPr>
        <w:jc w:val="both"/>
        <w:rPr>
          <w:sz w:val="18"/>
          <w:lang w:eastAsia="fr-FR"/>
        </w:rPr>
      </w:pPr>
      <w:r w:rsidRPr="0031454E">
        <w:rPr>
          <w:b/>
          <w:sz w:val="18"/>
          <w:lang w:eastAsia="fr-FR"/>
        </w:rPr>
        <w:t>Note</w:t>
      </w:r>
      <w:r w:rsidRPr="00B12930">
        <w:rPr>
          <w:sz w:val="18"/>
          <w:lang w:eastAsia="fr-FR"/>
        </w:rPr>
        <w:t xml:space="preserve"> : on observe un pic </w:t>
      </w:r>
      <w:r w:rsidR="00FD0404">
        <w:rPr>
          <w:sz w:val="18"/>
          <w:lang w:eastAsia="fr-FR"/>
        </w:rPr>
        <w:t xml:space="preserve">ponctuel </w:t>
      </w:r>
      <w:r w:rsidRPr="00B12930">
        <w:rPr>
          <w:sz w:val="18"/>
          <w:lang w:eastAsia="fr-FR"/>
        </w:rPr>
        <w:t>de recherche « </w:t>
      </w:r>
      <w:proofErr w:type="spellStart"/>
      <w:r w:rsidRPr="00B12930">
        <w:rPr>
          <w:i/>
          <w:sz w:val="18"/>
          <w:lang w:eastAsia="fr-FR"/>
        </w:rPr>
        <w:t>asselineau</w:t>
      </w:r>
      <w:proofErr w:type="spellEnd"/>
      <w:r w:rsidRPr="00B12930">
        <w:rPr>
          <w:sz w:val="18"/>
          <w:lang w:eastAsia="fr-FR"/>
        </w:rPr>
        <w:t xml:space="preserve"> » en date de fin septembre 2014 ; c’est la date des élections sénatoriales (mais le mouvement n’a pas été impliqué), c’est également la date à laquelle la page Wikipédia de François </w:t>
      </w:r>
      <w:proofErr w:type="spellStart"/>
      <w:r w:rsidRPr="00B12930">
        <w:rPr>
          <w:sz w:val="18"/>
          <w:lang w:eastAsia="fr-FR"/>
        </w:rPr>
        <w:t>Asselineau</w:t>
      </w:r>
      <w:proofErr w:type="spellEnd"/>
      <w:r w:rsidRPr="00B12930">
        <w:rPr>
          <w:sz w:val="18"/>
          <w:lang w:eastAsia="fr-FR"/>
        </w:rPr>
        <w:t xml:space="preserve"> a été définitivement créée, ce qui peut être </w:t>
      </w:r>
      <w:r w:rsidR="0031454E">
        <w:rPr>
          <w:sz w:val="18"/>
          <w:lang w:eastAsia="fr-FR"/>
        </w:rPr>
        <w:t>l’</w:t>
      </w:r>
      <w:r w:rsidRPr="00B12930">
        <w:rPr>
          <w:sz w:val="18"/>
          <w:lang w:eastAsia="fr-FR"/>
        </w:rPr>
        <w:t xml:space="preserve">explication à ce pic très localisé. </w:t>
      </w:r>
      <w:r w:rsidR="00120CA4">
        <w:rPr>
          <w:sz w:val="18"/>
          <w:lang w:eastAsia="fr-FR"/>
        </w:rPr>
        <w:t>*</w:t>
      </w:r>
      <w:r w:rsidR="00AD2B57">
        <w:rPr>
          <w:sz w:val="18"/>
          <w:lang w:eastAsia="fr-FR"/>
        </w:rPr>
        <w:t>L</w:t>
      </w:r>
      <w:r w:rsidR="00120CA4">
        <w:rPr>
          <w:sz w:val="18"/>
          <w:lang w:eastAsia="fr-FR"/>
        </w:rPr>
        <w:t xml:space="preserve">es </w:t>
      </w:r>
      <w:r w:rsidR="00AD2B57">
        <w:rPr>
          <w:sz w:val="18"/>
          <w:lang w:eastAsia="fr-FR"/>
        </w:rPr>
        <w:t>élections</w:t>
      </w:r>
      <w:r w:rsidR="00120CA4">
        <w:rPr>
          <w:sz w:val="18"/>
          <w:lang w:eastAsia="fr-FR"/>
        </w:rPr>
        <w:t xml:space="preserve"> </w:t>
      </w:r>
      <w:proofErr w:type="spellStart"/>
      <w:r w:rsidR="00120CA4">
        <w:rPr>
          <w:sz w:val="18"/>
          <w:lang w:eastAsia="fr-FR"/>
        </w:rPr>
        <w:t>Brexit</w:t>
      </w:r>
      <w:proofErr w:type="spellEnd"/>
      <w:r w:rsidR="00120CA4">
        <w:rPr>
          <w:sz w:val="18"/>
          <w:lang w:eastAsia="fr-FR"/>
        </w:rPr>
        <w:t xml:space="preserve"> et USA2016 sont représentées car ce sont des sujets régulièrement évoqués par ce mouvement.</w:t>
      </w:r>
    </w:p>
    <w:p w:rsidR="001C3E85" w:rsidRDefault="00720A9D" w:rsidP="001C3E85">
      <w:pPr>
        <w:jc w:val="both"/>
      </w:pPr>
      <w:r>
        <w:rPr>
          <w:lang w:eastAsia="fr-FR"/>
        </w:rPr>
        <w:t>Une</w:t>
      </w:r>
      <w:r w:rsidR="00697223">
        <w:rPr>
          <w:lang w:eastAsia="fr-FR"/>
        </w:rPr>
        <w:t xml:space="preserve"> question qu’on peut se poser est : existe-t-il un délai entre la recherche sur </w:t>
      </w:r>
      <w:r w:rsidR="00AA745F">
        <w:rPr>
          <w:lang w:eastAsia="fr-FR"/>
        </w:rPr>
        <w:t>Google</w:t>
      </w:r>
      <w:r w:rsidR="00697223">
        <w:rPr>
          <w:lang w:eastAsia="fr-FR"/>
        </w:rPr>
        <w:t xml:space="preserve"> et la dynamique d’adhésions ? Le graphique suivant</w:t>
      </w:r>
      <w:r w:rsidR="0022649D">
        <w:rPr>
          <w:lang w:eastAsia="fr-FR"/>
        </w:rPr>
        <w:t xml:space="preserve"> (</w:t>
      </w:r>
      <w:r w:rsidR="0022649D">
        <w:rPr>
          <w:lang w:eastAsia="fr-FR"/>
        </w:rPr>
        <w:fldChar w:fldCharType="begin"/>
      </w:r>
      <w:r w:rsidR="0022649D">
        <w:rPr>
          <w:lang w:eastAsia="fr-FR"/>
        </w:rPr>
        <w:instrText xml:space="preserve"> REF _Ref474411052 \h </w:instrText>
      </w:r>
      <w:r w:rsidR="005B6DCA">
        <w:rPr>
          <w:lang w:eastAsia="fr-FR"/>
        </w:rPr>
        <w:instrText xml:space="preserve"> \* MERGEFORMAT </w:instrText>
      </w:r>
      <w:r w:rsidR="0022649D">
        <w:rPr>
          <w:lang w:eastAsia="fr-FR"/>
        </w:rPr>
      </w:r>
      <w:r w:rsidR="0022649D">
        <w:rPr>
          <w:lang w:eastAsia="fr-FR"/>
        </w:rPr>
        <w:fldChar w:fldCharType="separate"/>
      </w:r>
    </w:p>
    <w:p w:rsidR="00FC115D" w:rsidRDefault="001C3E85" w:rsidP="005B6DCA">
      <w:pPr>
        <w:jc w:val="both"/>
      </w:pPr>
      <w:r>
        <w:rPr>
          <w:noProof/>
        </w:rPr>
        <w:t>Figure 6</w:t>
      </w:r>
      <w:r w:rsidR="0022649D">
        <w:rPr>
          <w:lang w:eastAsia="fr-FR"/>
        </w:rPr>
        <w:fldChar w:fldCharType="end"/>
      </w:r>
      <w:r w:rsidR="0022649D">
        <w:rPr>
          <w:lang w:eastAsia="fr-FR"/>
        </w:rPr>
        <w:t>)</w:t>
      </w:r>
      <w:r w:rsidR="00697223">
        <w:rPr>
          <w:lang w:eastAsia="fr-FR"/>
        </w:rPr>
        <w:t xml:space="preserve"> présente la corrélation entre les deux en fonction du décalage </w:t>
      </w:r>
      <w:r w:rsidR="006E5606">
        <w:rPr>
          <w:lang w:eastAsia="fr-FR"/>
        </w:rPr>
        <w:t xml:space="preserve">en jours </w:t>
      </w:r>
      <w:r w:rsidR="00697223">
        <w:rPr>
          <w:lang w:eastAsia="fr-FR"/>
        </w:rPr>
        <w:t xml:space="preserve">que l’on applique aux trends </w:t>
      </w:r>
      <w:r w:rsidR="00AA745F">
        <w:rPr>
          <w:lang w:eastAsia="fr-FR"/>
        </w:rPr>
        <w:t>Google</w:t>
      </w:r>
      <w:r w:rsidR="00697223">
        <w:rPr>
          <w:lang w:eastAsia="fr-FR"/>
        </w:rPr>
        <w:t> :</w:t>
      </w:r>
      <w:r w:rsidR="006E5606">
        <w:rPr>
          <w:lang w:eastAsia="fr-FR"/>
        </w:rPr>
        <w:t xml:space="preserve"> la meilleure corrélation est observée pour 0 jours de décalage, donc on a un match entre les deux courbes </w:t>
      </w:r>
      <w:r w:rsidR="006E5606" w:rsidRPr="00FD0404">
        <w:rPr>
          <w:i/>
          <w:lang w:eastAsia="fr-FR"/>
        </w:rPr>
        <w:t>originales</w:t>
      </w:r>
      <w:r w:rsidR="006E5606">
        <w:rPr>
          <w:lang w:eastAsia="fr-FR"/>
        </w:rPr>
        <w:t xml:space="preserve">. </w:t>
      </w:r>
      <w:r w:rsidR="003A2086">
        <w:rPr>
          <w:lang w:eastAsia="fr-FR"/>
        </w:rPr>
        <w:t>Cela peut signifier qu</w:t>
      </w:r>
      <w:r w:rsidR="00EE59EA">
        <w:rPr>
          <w:lang w:eastAsia="fr-FR"/>
        </w:rPr>
        <w:t>e la majorité des</w:t>
      </w:r>
      <w:r w:rsidR="003A2086">
        <w:rPr>
          <w:lang w:eastAsia="fr-FR"/>
        </w:rPr>
        <w:t xml:space="preserve"> adhésions ne proviennent pas de gens qui découvriraient soudain ce parti politique, mais plutôt surtout de gens connaissant déjà depuis un </w:t>
      </w:r>
      <w:r w:rsidR="00603621">
        <w:rPr>
          <w:lang w:eastAsia="fr-FR"/>
        </w:rPr>
        <w:t>certain temps</w:t>
      </w:r>
      <w:r w:rsidR="003A2086">
        <w:rPr>
          <w:lang w:eastAsia="fr-FR"/>
        </w:rPr>
        <w:t xml:space="preserve"> et </w:t>
      </w:r>
      <w:r w:rsidR="00EE59EA">
        <w:rPr>
          <w:lang w:eastAsia="fr-FR"/>
        </w:rPr>
        <w:t>à qui l’actualité du moment donnerait une raison de faire le pas.</w:t>
      </w:r>
      <w:r w:rsidR="003A2086">
        <w:rPr>
          <w:lang w:eastAsia="fr-FR"/>
        </w:rPr>
        <w:t xml:space="preserve"> </w:t>
      </w:r>
      <w:r w:rsidR="00F11F45">
        <w:rPr>
          <w:lang w:eastAsia="fr-FR"/>
        </w:rPr>
        <w:t>Les résultats sont identiques pour le terme « </w:t>
      </w:r>
      <w:proofErr w:type="spellStart"/>
      <w:r w:rsidR="00F11F45" w:rsidRPr="003D491D">
        <w:rPr>
          <w:i/>
          <w:lang w:eastAsia="fr-FR"/>
        </w:rPr>
        <w:t>upr</w:t>
      </w:r>
      <w:proofErr w:type="spellEnd"/>
      <w:r w:rsidR="00F11F45">
        <w:rPr>
          <w:lang w:eastAsia="fr-FR"/>
        </w:rPr>
        <w:t> ».</w:t>
      </w:r>
    </w:p>
    <w:p w:rsidR="003D491D" w:rsidRDefault="00697223" w:rsidP="003D491D">
      <w:pPr>
        <w:pStyle w:val="Lgende"/>
        <w:jc w:val="center"/>
      </w:pPr>
      <w:r>
        <w:rPr>
          <w:noProof/>
        </w:rPr>
        <w:drawing>
          <wp:inline distT="0" distB="0" distL="0" distR="0" wp14:anchorId="5FF09C6E" wp14:editId="2CAE2491">
            <wp:extent cx="4508205" cy="1821582"/>
            <wp:effectExtent l="0" t="0" r="6985"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9879" b="3742"/>
                    <a:stretch/>
                  </pic:blipFill>
                  <pic:spPr bwMode="auto">
                    <a:xfrm>
                      <a:off x="0" y="0"/>
                      <a:ext cx="4506542" cy="1820910"/>
                    </a:xfrm>
                    <a:prstGeom prst="rect">
                      <a:avLst/>
                    </a:prstGeom>
                    <a:ln>
                      <a:noFill/>
                    </a:ln>
                    <a:extLst>
                      <a:ext uri="{53640926-AAD7-44D8-BBD7-CCE9431645EC}">
                        <a14:shadowObscured xmlns:a14="http://schemas.microsoft.com/office/drawing/2010/main"/>
                      </a:ext>
                    </a:extLst>
                  </pic:spPr>
                </pic:pic>
              </a:graphicData>
            </a:graphic>
          </wp:inline>
        </w:drawing>
      </w:r>
      <w:bookmarkStart w:id="4" w:name="_Ref474411052"/>
    </w:p>
    <w:p w:rsidR="00697223" w:rsidRDefault="00697223" w:rsidP="003D491D">
      <w:pPr>
        <w:pStyle w:val="Lgende"/>
        <w:jc w:val="center"/>
      </w:pPr>
      <w:r>
        <w:t xml:space="preserve">Figure </w:t>
      </w:r>
      <w:r w:rsidR="001C3E85">
        <w:fldChar w:fldCharType="begin"/>
      </w:r>
      <w:r w:rsidR="001C3E85">
        <w:instrText xml:space="preserve"> SEQ Figure \* ARABIC </w:instrText>
      </w:r>
      <w:r w:rsidR="001C3E85">
        <w:fldChar w:fldCharType="separate"/>
      </w:r>
      <w:r w:rsidR="001C3E85">
        <w:rPr>
          <w:noProof/>
        </w:rPr>
        <w:t>6</w:t>
      </w:r>
      <w:r w:rsidR="001C3E85">
        <w:rPr>
          <w:noProof/>
        </w:rPr>
        <w:fldChar w:fldCharType="end"/>
      </w:r>
      <w:bookmarkEnd w:id="4"/>
      <w:r>
        <w:t xml:space="preserve">: décalage temporel entre recherche </w:t>
      </w:r>
      <w:r w:rsidR="001857FB">
        <w:t>« </w:t>
      </w:r>
      <w:proofErr w:type="spellStart"/>
      <w:r w:rsidR="001857FB" w:rsidRPr="003D491D">
        <w:t>asselineau</w:t>
      </w:r>
      <w:proofErr w:type="spellEnd"/>
      <w:r w:rsidR="001857FB">
        <w:t> »</w:t>
      </w:r>
      <w:r>
        <w:t>et adhésion?</w:t>
      </w:r>
    </w:p>
    <w:p w:rsidR="00FC115D" w:rsidRDefault="00FC115D" w:rsidP="00363131">
      <w:pPr>
        <w:jc w:val="both"/>
        <w:rPr>
          <w:lang w:eastAsia="fr-FR"/>
        </w:rPr>
      </w:pPr>
    </w:p>
    <w:p w:rsidR="00783FF4" w:rsidRDefault="00783FF4" w:rsidP="00783FF4">
      <w:pPr>
        <w:pStyle w:val="Citationintense"/>
      </w:pPr>
      <w:r>
        <w:t>Modélisation</w:t>
      </w:r>
      <w:r w:rsidR="008B7CD0">
        <w:t xml:space="preserve"> du cumul d’adhérents</w:t>
      </w:r>
    </w:p>
    <w:p w:rsidR="00783FF4" w:rsidRDefault="001904E1" w:rsidP="00783FF4">
      <w:pPr>
        <w:pStyle w:val="Sous-titre"/>
        <w:tabs>
          <w:tab w:val="left" w:pos="2717"/>
        </w:tabs>
      </w:pPr>
      <w:r>
        <w:t>Forme de modèles et signification</w:t>
      </w:r>
    </w:p>
    <w:p w:rsidR="00A200C4" w:rsidRDefault="00783FF4" w:rsidP="00783FF4">
      <w:pPr>
        <w:jc w:val="both"/>
      </w:pPr>
      <w:r>
        <w:t>Plusieurs techniques de modélisation peuvent être utili</w:t>
      </w:r>
      <w:r w:rsidR="00F31E03">
        <w:t xml:space="preserve">sées, comme un modèle linéaire </w:t>
      </w:r>
      <w:r>
        <w:t xml:space="preserve">une croissance </w:t>
      </w:r>
      <w:r w:rsidR="00F31E03">
        <w:t>quadratique ou encore</w:t>
      </w:r>
      <w:r>
        <w:t xml:space="preserve"> exponentielle</w:t>
      </w:r>
      <w:r w:rsidR="00F31E03">
        <w:t> :</w:t>
      </w:r>
    </w:p>
    <w:p w:rsidR="00017508" w:rsidRDefault="00017508" w:rsidP="00F31E03">
      <w:pPr>
        <w:pStyle w:val="Paragraphedeliste"/>
        <w:numPr>
          <w:ilvl w:val="0"/>
          <w:numId w:val="4"/>
        </w:numPr>
        <w:jc w:val="both"/>
      </w:pPr>
      <w:r>
        <w:t xml:space="preserve">Une </w:t>
      </w:r>
      <w:r w:rsidRPr="00F31E03">
        <w:rPr>
          <w:b/>
        </w:rPr>
        <w:t xml:space="preserve">croissance linéaire </w:t>
      </w:r>
      <w:r>
        <w:t xml:space="preserve">modélise </w:t>
      </w:r>
      <w:r w:rsidR="00F31E03">
        <w:t xml:space="preserve">un phénomène qui s’accroît d’une quantité fixe à chaque pas de temps, simulant </w:t>
      </w:r>
      <w:r>
        <w:t xml:space="preserve">par exemple une situation où les personnes découvrent par hasard le mouvement, </w:t>
      </w:r>
      <w:r w:rsidR="00F31E03">
        <w:t>à un rythme constant</w:t>
      </w:r>
      <w:r>
        <w:t>. A chaque nouvel instant, il y a un nombre identique d’arrivants</w:t>
      </w:r>
      <w:r w:rsidR="00F31E03">
        <w:t>, aux aléas près</w:t>
      </w:r>
      <w:r>
        <w:t xml:space="preserve">. </w:t>
      </w:r>
    </w:p>
    <w:p w:rsidR="009C70C1" w:rsidRDefault="00A200C4" w:rsidP="00F31E03">
      <w:pPr>
        <w:pStyle w:val="Paragraphedeliste"/>
        <w:numPr>
          <w:ilvl w:val="0"/>
          <w:numId w:val="4"/>
        </w:numPr>
        <w:jc w:val="both"/>
      </w:pPr>
      <w:r>
        <w:t>L</w:t>
      </w:r>
      <w:r w:rsidR="00B178C4">
        <w:t xml:space="preserve">a </w:t>
      </w:r>
      <w:r w:rsidR="00B178C4" w:rsidRPr="00F31E03">
        <w:rPr>
          <w:b/>
        </w:rPr>
        <w:t>croissance exponentielle</w:t>
      </w:r>
      <w:r w:rsidR="00B178C4">
        <w:t xml:space="preserve"> (ou plus généralement géométrique) incrémente d’une valeur qui augmente elle-même en proportion </w:t>
      </w:r>
      <w:r w:rsidR="00A35566">
        <w:t xml:space="preserve">de la </w:t>
      </w:r>
      <w:r w:rsidR="00F31E03">
        <w:t xml:space="preserve">taille de la </w:t>
      </w:r>
      <w:r w:rsidR="00A35566">
        <w:t>population</w:t>
      </w:r>
      <w:r w:rsidR="009C70C1">
        <w:t xml:space="preserve">. </w:t>
      </w:r>
      <w:r w:rsidR="00A35566">
        <w:t>Elle</w:t>
      </w:r>
      <w:r w:rsidR="009C70C1">
        <w:t xml:space="preserve"> </w:t>
      </w:r>
      <w:r w:rsidR="000529CF">
        <w:t xml:space="preserve">modélise par exemple une situation où chaque nouvel adhérent va convaincre </w:t>
      </w:r>
      <w:r w:rsidR="00A35566">
        <w:t>d’</w:t>
      </w:r>
      <w:r w:rsidR="000529CF">
        <w:t>autre</w:t>
      </w:r>
      <w:r w:rsidR="00A35566">
        <w:t>s</w:t>
      </w:r>
      <w:r w:rsidR="000529CF">
        <w:t xml:space="preserve"> personne</w:t>
      </w:r>
      <w:r w:rsidR="00A35566">
        <w:t>s</w:t>
      </w:r>
      <w:r w:rsidR="000529CF">
        <w:t xml:space="preserve">, </w:t>
      </w:r>
      <w:r w:rsidR="001068CF">
        <w:t xml:space="preserve">dont une partie </w:t>
      </w:r>
      <w:proofErr w:type="gramStart"/>
      <w:r w:rsidR="001068CF">
        <w:t>vont</w:t>
      </w:r>
      <w:proofErr w:type="gramEnd"/>
      <w:r w:rsidR="000529CF">
        <w:t xml:space="preserve"> </w:t>
      </w:r>
      <w:r w:rsidR="00F31E03">
        <w:t>elles-mêmes</w:t>
      </w:r>
      <w:r w:rsidR="000529CF">
        <w:t xml:space="preserve"> convaincre </w:t>
      </w:r>
      <w:r w:rsidR="00F31E03">
        <w:t>d’</w:t>
      </w:r>
      <w:r w:rsidR="000529CF">
        <w:t>autre personne</w:t>
      </w:r>
      <w:r w:rsidR="001068CF">
        <w:t>s</w:t>
      </w:r>
      <w:r w:rsidR="000529CF">
        <w:t xml:space="preserve">, </w:t>
      </w:r>
      <w:r w:rsidR="00F31E03">
        <w:t>et ainsi de</w:t>
      </w:r>
      <w:r w:rsidR="001068CF">
        <w:t xml:space="preserve"> suite</w:t>
      </w:r>
      <w:r w:rsidR="00DC1477">
        <w:t>. Tout ceci forme des croissances exponentielles.</w:t>
      </w:r>
      <w:r w:rsidR="000E10C9">
        <w:t xml:space="preserve"> Ce type d’évolution</w:t>
      </w:r>
      <w:r w:rsidR="006D77D7">
        <w:t xml:space="preserve"> est très répandu en biologie pour des phénomènes qui démarrent lentement puis finissent par « exploser », mais</w:t>
      </w:r>
      <w:r w:rsidR="000E10C9">
        <w:t xml:space="preserve"> les croissances exponentielles sont </w:t>
      </w:r>
      <w:r w:rsidR="006D77D7">
        <w:t xml:space="preserve">en réalité </w:t>
      </w:r>
      <w:r w:rsidR="000E10C9">
        <w:t xml:space="preserve">vite plafonnées par des contraintes </w:t>
      </w:r>
      <w:r w:rsidR="006D77D7">
        <w:t>physiques</w:t>
      </w:r>
      <w:r w:rsidR="000E10C9">
        <w:t xml:space="preserve"> du milieu, de l’espace</w:t>
      </w:r>
      <w:r w:rsidR="00471080">
        <w:t>, des interactions, etc</w:t>
      </w:r>
      <w:r w:rsidR="001068CF">
        <w:t>.</w:t>
      </w:r>
      <w:r w:rsidR="00471080">
        <w:t>, et peuvent évoluer en courbes sigmoïdes (avec point d’inflexion puis plateau) ou cycliques.</w:t>
      </w:r>
      <w:r w:rsidR="000E10C9">
        <w:t xml:space="preserve">  </w:t>
      </w:r>
    </w:p>
    <w:p w:rsidR="00DC1477" w:rsidRDefault="00DC1477" w:rsidP="00F31E03">
      <w:pPr>
        <w:pStyle w:val="Paragraphedeliste"/>
        <w:numPr>
          <w:ilvl w:val="0"/>
          <w:numId w:val="4"/>
        </w:numPr>
        <w:jc w:val="both"/>
      </w:pPr>
      <w:r>
        <w:t xml:space="preserve">Une </w:t>
      </w:r>
      <w:r w:rsidRPr="00F31E03">
        <w:rPr>
          <w:b/>
        </w:rPr>
        <w:t>croissance quadratique</w:t>
      </w:r>
      <w:r w:rsidR="003342FD">
        <w:rPr>
          <w:b/>
        </w:rPr>
        <w:t xml:space="preserve"> </w:t>
      </w:r>
      <w:r w:rsidR="003342FD" w:rsidRPr="003342FD">
        <w:t>(ou plus généralement polynomiale)</w:t>
      </w:r>
      <w:r w:rsidR="001F3A13">
        <w:t>, c’est-à-dire une parabole (</w:t>
      </w:r>
      <w:r w:rsidR="00FD0404">
        <w:rPr>
          <w:rFonts w:eastAsiaTheme="minorEastAsia"/>
        </w:rPr>
        <w:t>ex </w:t>
      </w:r>
      <w:proofErr w:type="gramStart"/>
      <w:r w:rsidR="00FD0404">
        <w:rPr>
          <w:rFonts w:eastAsiaTheme="minorEastAsia"/>
        </w:rPr>
        <w:t xml:space="preserve">: </w:t>
      </w:r>
      <w:proofErr w:type="gramEnd"/>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oMath>
      <w:r w:rsidR="001F3A13">
        <w:t xml:space="preserve">), possède un accroissement linéaire. </w:t>
      </w:r>
      <w:r w:rsidR="00A200C4">
        <w:t xml:space="preserve">Si on double le temps d’attente, on quadruple </w:t>
      </w:r>
      <w:r w:rsidR="001F3A13">
        <w:t xml:space="preserve">alors </w:t>
      </w:r>
      <w:r w:rsidR="00A200C4">
        <w:t xml:space="preserve">le nombre d’adhérents. </w:t>
      </w:r>
      <w:r w:rsidR="00362529">
        <w:t>Ce type de croissance est rarement rencontré en</w:t>
      </w:r>
      <w:r w:rsidR="00F31E03">
        <w:t xml:space="preserve"> biologie, on pourrait imaginer ici </w:t>
      </w:r>
      <w:r w:rsidR="00362529">
        <w:t>qu’il reflète</w:t>
      </w:r>
      <w:r w:rsidR="00F31E03">
        <w:t xml:space="preserve"> plutôt</w:t>
      </w:r>
      <w:r w:rsidR="00362529">
        <w:t xml:space="preserve"> </w:t>
      </w:r>
      <w:r w:rsidR="00581B06">
        <w:t xml:space="preserve">des recrutements proportionnels à une médiatisation qui, elle, croitrait linéairement. </w:t>
      </w:r>
    </w:p>
    <w:p w:rsidR="001904E1" w:rsidRDefault="001904E1" w:rsidP="001904E1">
      <w:pPr>
        <w:pStyle w:val="Sous-titre"/>
        <w:tabs>
          <w:tab w:val="left" w:pos="2717"/>
        </w:tabs>
      </w:pPr>
      <w:r>
        <w:t>Calibration sur les données</w:t>
      </w:r>
    </w:p>
    <w:p w:rsidR="00017508" w:rsidRDefault="00017508" w:rsidP="00783FF4">
      <w:pPr>
        <w:jc w:val="both"/>
      </w:pPr>
      <w:r>
        <w:t xml:space="preserve">Lors des cinq premières années d’existence du mouvement, alors qu’il était encore très confidentiel, le modèle </w:t>
      </w:r>
      <w:r w:rsidR="00362529">
        <w:t xml:space="preserve">exponentiel (courbe rouge) rend parfaitement </w:t>
      </w:r>
      <w:r w:rsidR="001068CF">
        <w:t xml:space="preserve">compte </w:t>
      </w:r>
      <w:r w:rsidR="00362529">
        <w:t>de la croissance, majori</w:t>
      </w:r>
      <w:r w:rsidR="00581B06">
        <w:t>tairement par bouche à oreille puisqu’il n’y a aucune candidature aux élections sur cette période.</w:t>
      </w:r>
    </w:p>
    <w:p w:rsidR="00F31E03" w:rsidRDefault="00362529" w:rsidP="00F31E03">
      <w:pPr>
        <w:pStyle w:val="Sansinterligne"/>
        <w:jc w:val="center"/>
      </w:pPr>
      <w:r>
        <w:rPr>
          <w:noProof/>
          <w:lang w:eastAsia="fr-FR"/>
        </w:rPr>
        <w:drawing>
          <wp:inline distT="0" distB="0" distL="0" distR="0" wp14:anchorId="3134D260" wp14:editId="52778524">
            <wp:extent cx="4314825" cy="215741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14286" cy="2157144"/>
                    </a:xfrm>
                    <a:prstGeom prst="rect">
                      <a:avLst/>
                    </a:prstGeom>
                  </pic:spPr>
                </pic:pic>
              </a:graphicData>
            </a:graphic>
          </wp:inline>
        </w:drawing>
      </w:r>
    </w:p>
    <w:p w:rsidR="00017508" w:rsidRDefault="00F31E03" w:rsidP="00F31E03">
      <w:pPr>
        <w:pStyle w:val="Lgende"/>
        <w:jc w:val="center"/>
      </w:pPr>
      <w:r>
        <w:t xml:space="preserve">Figure </w:t>
      </w:r>
      <w:r w:rsidR="001C3E85">
        <w:fldChar w:fldCharType="begin"/>
      </w:r>
      <w:r w:rsidR="001C3E85">
        <w:instrText xml:space="preserve"> SEQ Figure \* ARABIC </w:instrText>
      </w:r>
      <w:r w:rsidR="001C3E85">
        <w:fldChar w:fldCharType="separate"/>
      </w:r>
      <w:r w:rsidR="001C3E85">
        <w:rPr>
          <w:noProof/>
        </w:rPr>
        <w:t>7</w:t>
      </w:r>
      <w:r w:rsidR="001C3E85">
        <w:rPr>
          <w:noProof/>
        </w:rPr>
        <w:fldChar w:fldCharType="end"/>
      </w:r>
      <w:r>
        <w:t>: 3 modèles calés sur la période 2007:2012</w:t>
      </w:r>
    </w:p>
    <w:p w:rsidR="00F31E03" w:rsidRPr="001068CF" w:rsidRDefault="00F31E03" w:rsidP="00017508">
      <w:pPr>
        <w:rPr>
          <w:sz w:val="12"/>
        </w:rPr>
      </w:pPr>
    </w:p>
    <w:p w:rsidR="00017508" w:rsidRDefault="00725797" w:rsidP="00017508">
      <w:r>
        <w:t>A partir de 2013, cette première courbe exponentielle</w:t>
      </w:r>
      <w:r w:rsidR="00DD2289">
        <w:t xml:space="preserve"> ne colle plus aux données</w:t>
      </w:r>
      <w:r>
        <w:t xml:space="preserve">: elle croît trop vite. </w:t>
      </w:r>
      <w:r w:rsidR="00F31E03">
        <w:t xml:space="preserve"> Le rythme du bouche-à-oreille n’augmente plus aussi vite, peut-être que les cercles de relations </w:t>
      </w:r>
      <w:r w:rsidR="00DD2289">
        <w:t>font qu</w:t>
      </w:r>
      <w:r w:rsidR="001E3923">
        <w:t>e les adhérents</w:t>
      </w:r>
      <w:r w:rsidR="00DD2289">
        <w:t xml:space="preserve"> prêche</w:t>
      </w:r>
      <w:r w:rsidR="001E3923">
        <w:t>nt</w:t>
      </w:r>
      <w:r w:rsidR="00DD2289">
        <w:t xml:space="preserve"> déjà des convaincus.</w:t>
      </w:r>
    </w:p>
    <w:p w:rsidR="00D213DE" w:rsidRDefault="001068CF" w:rsidP="00D213DE">
      <w:pPr>
        <w:pStyle w:val="Lgende"/>
        <w:jc w:val="center"/>
      </w:pPr>
      <w:r>
        <w:rPr>
          <w:noProof/>
        </w:rPr>
        <w:lastRenderedPageBreak/>
        <w:drawing>
          <wp:inline distT="0" distB="0" distL="0" distR="0" wp14:anchorId="0DBC1216" wp14:editId="60CDA5FA">
            <wp:extent cx="4133088" cy="2030048"/>
            <wp:effectExtent l="0" t="0" r="1270" b="889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35714" cy="2031338"/>
                    </a:xfrm>
                    <a:prstGeom prst="rect">
                      <a:avLst/>
                    </a:prstGeom>
                  </pic:spPr>
                </pic:pic>
              </a:graphicData>
            </a:graphic>
          </wp:inline>
        </w:drawing>
      </w:r>
    </w:p>
    <w:p w:rsidR="00D213DE" w:rsidRDefault="00D213DE" w:rsidP="00D213DE">
      <w:pPr>
        <w:pStyle w:val="Lgende"/>
        <w:jc w:val="center"/>
      </w:pPr>
      <w:bookmarkStart w:id="5" w:name="_Ref474507993"/>
      <w:r>
        <w:t xml:space="preserve">Figure </w:t>
      </w:r>
      <w:r w:rsidR="001C3E85">
        <w:fldChar w:fldCharType="begin"/>
      </w:r>
      <w:r w:rsidR="001C3E85">
        <w:instrText xml:space="preserve"> SEQ Figure \* ARABIC </w:instrText>
      </w:r>
      <w:r w:rsidR="001C3E85">
        <w:fldChar w:fldCharType="separate"/>
      </w:r>
      <w:r w:rsidR="001C3E85">
        <w:rPr>
          <w:noProof/>
        </w:rPr>
        <w:t>8</w:t>
      </w:r>
      <w:r w:rsidR="001C3E85">
        <w:rPr>
          <w:noProof/>
        </w:rPr>
        <w:fldChar w:fldCharType="end"/>
      </w:r>
      <w:bookmarkEnd w:id="5"/>
      <w:r>
        <w:t>: modèle</w:t>
      </w:r>
      <w:r w:rsidR="00CB3A08">
        <w:t>s</w:t>
      </w:r>
      <w:r>
        <w:t xml:space="preserve"> polynomial</w:t>
      </w:r>
      <w:r w:rsidR="00CB3A08">
        <w:t xml:space="preserve"> (deg.3</w:t>
      </w:r>
      <w:r w:rsidR="001068CF">
        <w:t>, bleu</w:t>
      </w:r>
      <w:r w:rsidR="00CB3A08">
        <w:t>)</w:t>
      </w:r>
      <w:r>
        <w:t xml:space="preserve"> </w:t>
      </w:r>
      <w:r w:rsidR="00CB3A08">
        <w:t xml:space="preserve">et exponentiel </w:t>
      </w:r>
      <w:r w:rsidR="001068CF">
        <w:t xml:space="preserve">(rouge) </w:t>
      </w:r>
      <w:r>
        <w:t>calé</w:t>
      </w:r>
      <w:r w:rsidR="00CB3A08">
        <w:t>s</w:t>
      </w:r>
      <w:r>
        <w:t xml:space="preserve"> sur la péri</w:t>
      </w:r>
      <w:r w:rsidR="00CB3A08">
        <w:t xml:space="preserve">ode 2007:2016, et </w:t>
      </w:r>
      <w:r w:rsidR="00897BB4">
        <w:t>régression linéaire</w:t>
      </w:r>
      <w:r w:rsidR="00CB3A08">
        <w:t xml:space="preserve"> </w:t>
      </w:r>
      <w:r w:rsidR="001068CF">
        <w:t>par morceaux (jaune).</w:t>
      </w:r>
    </w:p>
    <w:p w:rsidR="00D213DE" w:rsidRPr="003342FD" w:rsidRDefault="00D213DE" w:rsidP="00D213DE">
      <w:pPr>
        <w:rPr>
          <w:sz w:val="10"/>
        </w:rPr>
      </w:pPr>
    </w:p>
    <w:p w:rsidR="00D213DE" w:rsidRDefault="003342FD" w:rsidP="003342FD">
      <w:pPr>
        <w:jc w:val="both"/>
        <w:rPr>
          <w:rFonts w:eastAsiaTheme="minorEastAsia"/>
        </w:rPr>
      </w:pPr>
      <w:r>
        <w:t>La figure ci-dessus (</w:t>
      </w:r>
      <w:r>
        <w:fldChar w:fldCharType="begin"/>
      </w:r>
      <w:r>
        <w:instrText xml:space="preserve"> REF _Ref474507993 \h </w:instrText>
      </w:r>
      <w:r>
        <w:fldChar w:fldCharType="separate"/>
      </w:r>
      <w:r w:rsidR="001C3E85">
        <w:t xml:space="preserve">Figure </w:t>
      </w:r>
      <w:r w:rsidR="001C3E85">
        <w:rPr>
          <w:noProof/>
        </w:rPr>
        <w:t>8</w:t>
      </w:r>
      <w:r>
        <w:fldChar w:fldCharType="end"/>
      </w:r>
      <w:r>
        <w:t>) cale ces mêmes modèles sur l’ensemble des données</w:t>
      </w:r>
      <w:r w:rsidR="001068CF">
        <w:t xml:space="preserve">. </w:t>
      </w:r>
      <w:r w:rsidR="00427855">
        <w:t xml:space="preserve">La </w:t>
      </w:r>
      <w:r>
        <w:t xml:space="preserve">meilleure performance ici </w:t>
      </w:r>
      <w:r w:rsidR="00427855">
        <w:t xml:space="preserve">est </w:t>
      </w:r>
      <w:r w:rsidR="00190C2A">
        <w:t xml:space="preserve">le </w:t>
      </w:r>
      <w:r>
        <w:t xml:space="preserve">modèle polynomial </w:t>
      </w:r>
      <w:proofErr w:type="gramStart"/>
      <w:r>
        <w:t xml:space="preserve">en </w:t>
      </w:r>
      <w:proofErr w:type="gramEnd"/>
      <m:oMath>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m:t>
        </m:r>
      </m:oMath>
      <w:r w:rsidR="00C300B4">
        <w:rPr>
          <w:rFonts w:eastAsiaTheme="minorEastAsia"/>
        </w:rPr>
        <w:t xml:space="preserve">. </w:t>
      </w:r>
      <w:r w:rsidR="00190C2A">
        <w:rPr>
          <w:rFonts w:eastAsiaTheme="minorEastAsia"/>
        </w:rPr>
        <w:t>Ces modèles échouent</w:t>
      </w:r>
      <w:r w:rsidR="00C300B4">
        <w:rPr>
          <w:rFonts w:eastAsiaTheme="minorEastAsia"/>
        </w:rPr>
        <w:t xml:space="preserve"> tous à expliquer les pics d’adhésions des élections ainsi que la forte croissance observée à partir des élections US (fin 2016). Ce dernier phénomène pourrait être lié à une intense campagne d’affichage sur toute la France. </w:t>
      </w:r>
      <w:r w:rsidR="00190C2A">
        <w:rPr>
          <w:rFonts w:eastAsiaTheme="minorEastAsia"/>
        </w:rPr>
        <w:t xml:space="preserve">Nous avons rajouté sur la figure un modèle </w:t>
      </w:r>
      <w:r w:rsidR="00190C2A">
        <w:t>linéaire dit « par morceaux » qui cale 4 se</w:t>
      </w:r>
      <w:r w:rsidR="008E4E7D">
        <w:t>gments de droite sur la courbe,</w:t>
      </w:r>
      <w:r w:rsidR="00190C2A">
        <w:t xml:space="preserve"> il obtient un excellent fit </w:t>
      </w:r>
      <w:r w:rsidR="008E4E7D">
        <w:t>(</w:t>
      </w:r>
      <w:r w:rsidR="008E4E7D">
        <w:fldChar w:fldCharType="begin"/>
      </w:r>
      <w:r w:rsidR="008E4E7D">
        <w:instrText xml:space="preserve"> REF _Ref474792641 \h </w:instrText>
      </w:r>
      <w:r w:rsidR="008E4E7D">
        <w:fldChar w:fldCharType="separate"/>
      </w:r>
      <w:r w:rsidR="001C3E85">
        <w:t xml:space="preserve">Tableau </w:t>
      </w:r>
      <w:r w:rsidR="001C3E85">
        <w:rPr>
          <w:noProof/>
        </w:rPr>
        <w:t>3</w:t>
      </w:r>
      <w:r w:rsidR="008E4E7D">
        <w:fldChar w:fldCharType="end"/>
      </w:r>
      <w:r w:rsidR="008E4E7D">
        <w:t xml:space="preserve">) </w:t>
      </w:r>
      <w:r w:rsidR="00190C2A">
        <w:t xml:space="preserve">mais </w:t>
      </w:r>
      <w:r w:rsidR="00EA4EA5">
        <w:t>est totalement</w:t>
      </w:r>
      <w:r w:rsidR="00190C2A">
        <w:t xml:space="preserve"> inutile à la prédiction puisque le choix des points de cassure reste manuel et a posteriori.</w:t>
      </w:r>
    </w:p>
    <w:p w:rsidR="00F84231" w:rsidRDefault="00F84231" w:rsidP="00F84231">
      <w:pPr>
        <w:pStyle w:val="Lgende"/>
        <w:keepNext/>
      </w:pPr>
      <w:bookmarkStart w:id="6" w:name="_Ref474792641"/>
      <w:r>
        <w:t xml:space="preserve">Tableau </w:t>
      </w:r>
      <w:r w:rsidR="001C3E85">
        <w:fldChar w:fldCharType="begin"/>
      </w:r>
      <w:r w:rsidR="001C3E85">
        <w:instrText xml:space="preserve"> SEQ Tableau \* ARABIC </w:instrText>
      </w:r>
      <w:r w:rsidR="001C3E85">
        <w:fldChar w:fldCharType="separate"/>
      </w:r>
      <w:r w:rsidR="001C3E85">
        <w:rPr>
          <w:noProof/>
        </w:rPr>
        <w:t>3</w:t>
      </w:r>
      <w:r w:rsidR="001C3E85">
        <w:rPr>
          <w:noProof/>
        </w:rPr>
        <w:fldChar w:fldCharType="end"/>
      </w:r>
      <w:bookmarkEnd w:id="6"/>
      <w:r>
        <w:t>: performance de deux modèles</w:t>
      </w:r>
      <w:r w:rsidR="00C3580E">
        <w:t xml:space="preserve"> (erreur moyenne absolue</w:t>
      </w:r>
      <w:r w:rsidR="00B64980">
        <w:t xml:space="preserve"> sur données d’apprentissage</w:t>
      </w:r>
      <w:r w:rsidR="00C3580E">
        <w:t>)</w:t>
      </w:r>
    </w:p>
    <w:tbl>
      <w:tblPr>
        <w:tblStyle w:val="Tableauliste3"/>
        <w:tblW w:w="0" w:type="auto"/>
        <w:jc w:val="center"/>
        <w:tblLook w:val="04A0" w:firstRow="1" w:lastRow="0" w:firstColumn="1" w:lastColumn="0" w:noHBand="0" w:noVBand="1"/>
      </w:tblPr>
      <w:tblGrid>
        <w:gridCol w:w="1174"/>
        <w:gridCol w:w="1971"/>
        <w:gridCol w:w="1971"/>
        <w:gridCol w:w="1818"/>
        <w:gridCol w:w="1948"/>
      </w:tblGrid>
      <w:tr w:rsidR="006470E1" w:rsidTr="006470E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6470E1" w:rsidRDefault="006470E1" w:rsidP="00D213DE"/>
        </w:tc>
        <w:tc>
          <w:tcPr>
            <w:tcW w:w="0" w:type="auto"/>
          </w:tcPr>
          <w:p w:rsidR="006470E1" w:rsidRDefault="006470E1" w:rsidP="0094284C">
            <w:pPr>
              <w:jc w:val="center"/>
              <w:cnfStyle w:val="100000000000" w:firstRow="1" w:lastRow="0" w:firstColumn="0" w:lastColumn="0" w:oddVBand="0" w:evenVBand="0" w:oddHBand="0" w:evenHBand="0" w:firstRowFirstColumn="0" w:firstRowLastColumn="0" w:lastRowFirstColumn="0" w:lastRowLastColumn="0"/>
            </w:pPr>
            <w:r>
              <w:t xml:space="preserve">Modèle polynomial, </w:t>
            </w:r>
            <w:r w:rsidR="0094284C">
              <w:t>2</w:t>
            </w:r>
          </w:p>
        </w:tc>
        <w:tc>
          <w:tcPr>
            <w:tcW w:w="0" w:type="auto"/>
          </w:tcPr>
          <w:p w:rsidR="006470E1" w:rsidRDefault="006470E1" w:rsidP="0094284C">
            <w:pPr>
              <w:jc w:val="center"/>
              <w:cnfStyle w:val="100000000000" w:firstRow="1" w:lastRow="0" w:firstColumn="0" w:lastColumn="0" w:oddVBand="0" w:evenVBand="0" w:oddHBand="0" w:evenHBand="0" w:firstRowFirstColumn="0" w:firstRowLastColumn="0" w:lastRowFirstColumn="0" w:lastRowLastColumn="0"/>
            </w:pPr>
            <w:r>
              <w:t xml:space="preserve">Modèle polynomial, </w:t>
            </w:r>
            <w:r w:rsidR="0094284C">
              <w:t>3</w:t>
            </w:r>
          </w:p>
        </w:tc>
        <w:tc>
          <w:tcPr>
            <w:tcW w:w="0" w:type="auto"/>
          </w:tcPr>
          <w:p w:rsidR="006470E1" w:rsidRDefault="006470E1" w:rsidP="0098692C">
            <w:pPr>
              <w:jc w:val="center"/>
              <w:cnfStyle w:val="100000000000" w:firstRow="1" w:lastRow="0" w:firstColumn="0" w:lastColumn="0" w:oddVBand="0" w:evenVBand="0" w:oddHBand="0" w:evenHBand="0" w:firstRowFirstColumn="0" w:firstRowLastColumn="0" w:lastRowFirstColumn="0" w:lastRowLastColumn="0"/>
            </w:pPr>
            <w:r>
              <w:t>Modèle exponentiel</w:t>
            </w:r>
          </w:p>
        </w:tc>
        <w:tc>
          <w:tcPr>
            <w:tcW w:w="0" w:type="auto"/>
          </w:tcPr>
          <w:p w:rsidR="006470E1" w:rsidRDefault="006470E1" w:rsidP="0098692C">
            <w:pPr>
              <w:jc w:val="center"/>
              <w:cnfStyle w:val="100000000000" w:firstRow="1" w:lastRow="0" w:firstColumn="0" w:lastColumn="0" w:oddVBand="0" w:evenVBand="0" w:oddHBand="0" w:evenHBand="0" w:firstRowFirstColumn="0" w:firstRowLastColumn="0" w:lastRowFirstColumn="0" w:lastRowLastColumn="0"/>
            </w:pPr>
            <w:r>
              <w:t>Modèle « segments »</w:t>
            </w:r>
          </w:p>
        </w:tc>
      </w:tr>
      <w:tr w:rsidR="006470E1" w:rsidTr="006470E1">
        <w:trPr>
          <w:jc w:val="center"/>
        </w:trPr>
        <w:tc>
          <w:tcPr>
            <w:cnfStyle w:val="001000000000" w:firstRow="0" w:lastRow="0" w:firstColumn="1" w:lastColumn="0" w:oddVBand="0" w:evenVBand="0" w:oddHBand="0" w:evenHBand="0" w:firstRowFirstColumn="0" w:firstRowLastColumn="0" w:lastRowFirstColumn="0" w:lastRowLastColumn="0"/>
            <w:tcW w:w="0" w:type="auto"/>
          </w:tcPr>
          <w:p w:rsidR="006470E1" w:rsidRDefault="006470E1" w:rsidP="00413C58">
            <w:r>
              <w:t>Erreur MAE</w:t>
            </w:r>
          </w:p>
        </w:tc>
        <w:tc>
          <w:tcPr>
            <w:tcW w:w="0" w:type="auto"/>
          </w:tcPr>
          <w:p w:rsidR="006470E1" w:rsidRDefault="0094284C" w:rsidP="003342FD">
            <w:pPr>
              <w:jc w:val="center"/>
              <w:cnfStyle w:val="000000000000" w:firstRow="0" w:lastRow="0" w:firstColumn="0" w:lastColumn="0" w:oddVBand="0" w:evenVBand="0" w:oddHBand="0" w:evenHBand="0" w:firstRowFirstColumn="0" w:firstRowLastColumn="0" w:lastRowFirstColumn="0" w:lastRowLastColumn="0"/>
            </w:pPr>
            <w:r>
              <w:t>287</w:t>
            </w:r>
          </w:p>
        </w:tc>
        <w:tc>
          <w:tcPr>
            <w:tcW w:w="0" w:type="auto"/>
          </w:tcPr>
          <w:p w:rsidR="006470E1" w:rsidRDefault="0094284C" w:rsidP="003342FD">
            <w:pPr>
              <w:jc w:val="center"/>
              <w:cnfStyle w:val="000000000000" w:firstRow="0" w:lastRow="0" w:firstColumn="0" w:lastColumn="0" w:oddVBand="0" w:evenVBand="0" w:oddHBand="0" w:evenHBand="0" w:firstRowFirstColumn="0" w:firstRowLastColumn="0" w:lastRowFirstColumn="0" w:lastRowLastColumn="0"/>
            </w:pPr>
            <w:r w:rsidRPr="001068CF">
              <w:rPr>
                <w:color w:val="00B050"/>
              </w:rPr>
              <w:t>151</w:t>
            </w:r>
          </w:p>
        </w:tc>
        <w:tc>
          <w:tcPr>
            <w:tcW w:w="0" w:type="auto"/>
          </w:tcPr>
          <w:p w:rsidR="006470E1" w:rsidRDefault="006470E1" w:rsidP="0098692C">
            <w:pPr>
              <w:jc w:val="center"/>
              <w:cnfStyle w:val="000000000000" w:firstRow="0" w:lastRow="0" w:firstColumn="0" w:lastColumn="0" w:oddVBand="0" w:evenVBand="0" w:oddHBand="0" w:evenHBand="0" w:firstRowFirstColumn="0" w:firstRowLastColumn="0" w:lastRowFirstColumn="0" w:lastRowLastColumn="0"/>
            </w:pPr>
            <w:r>
              <w:t>325</w:t>
            </w:r>
          </w:p>
        </w:tc>
        <w:tc>
          <w:tcPr>
            <w:tcW w:w="0" w:type="auto"/>
          </w:tcPr>
          <w:p w:rsidR="006470E1" w:rsidRDefault="006470E1" w:rsidP="0098692C">
            <w:pPr>
              <w:jc w:val="center"/>
              <w:cnfStyle w:val="000000000000" w:firstRow="0" w:lastRow="0" w:firstColumn="0" w:lastColumn="0" w:oddVBand="0" w:evenVBand="0" w:oddHBand="0" w:evenHBand="0" w:firstRowFirstColumn="0" w:firstRowLastColumn="0" w:lastRowFirstColumn="0" w:lastRowLastColumn="0"/>
            </w:pPr>
            <w:r w:rsidRPr="001068CF">
              <w:rPr>
                <w:color w:val="00B050"/>
              </w:rPr>
              <w:t>85</w:t>
            </w:r>
          </w:p>
        </w:tc>
      </w:tr>
    </w:tbl>
    <w:p w:rsidR="003342FD" w:rsidRPr="003A5060" w:rsidRDefault="003342FD" w:rsidP="00D213DE">
      <w:pPr>
        <w:rPr>
          <w:sz w:val="8"/>
        </w:rPr>
      </w:pPr>
    </w:p>
    <w:p w:rsidR="006470E1" w:rsidRDefault="006470E1" w:rsidP="006470E1">
      <w:pPr>
        <w:jc w:val="both"/>
      </w:pPr>
      <w:r>
        <w:t xml:space="preserve">En conclusion, on peut prétendre expliquer la période après 2013 par un modèle quadratique ou cubique (puissance 3) qui sous-entendrait que la dynamique d’adhésion s’accélère linéairement (ou quadratiquement). La médiatisation croissante peut être une explication, ainsi que la présence sur internet via les réseaux, les commentaires, et les </w:t>
      </w:r>
      <w:r w:rsidR="009124A1">
        <w:t>vidéos</w:t>
      </w:r>
      <w:r>
        <w:t xml:space="preserve"> </w:t>
      </w:r>
      <w:r w:rsidR="009124A1">
        <w:t>YouTube</w:t>
      </w:r>
      <w:r>
        <w:t xml:space="preserve">. On peut également supposer que le référencement Google du site </w:t>
      </w:r>
      <w:hyperlink r:id="rId21" w:history="1">
        <w:r w:rsidRPr="004A6A43">
          <w:rPr>
            <w:rStyle w:val="Lienhypertexte"/>
          </w:rPr>
          <w:t>www.upr.fr</w:t>
        </w:r>
      </w:hyperlink>
      <w:r>
        <w:t xml:space="preserve"> </w:t>
      </w:r>
      <w:r w:rsidR="003A5060">
        <w:t xml:space="preserve">(qui est l’un des partis les plus fréquentés d’après le classement </w:t>
      </w:r>
      <w:proofErr w:type="spellStart"/>
      <w:r w:rsidR="003A5060">
        <w:t>AlexaRanking</w:t>
      </w:r>
      <w:proofErr w:type="spellEnd"/>
      <w:r w:rsidR="003A5060">
        <w:t xml:space="preserve">) </w:t>
      </w:r>
      <w:r>
        <w:t>joue un rôle important. Le référencement naturel Google ramène en tête de recherche en fonction du nombre d’hyperliens et d’interactions entre les sites, ce qui peut faire penser à une loi de type puissance (</w:t>
      </w:r>
      <w:r w:rsidRPr="003A5060">
        <w:rPr>
          <w:i/>
        </w:rPr>
        <w:t xml:space="preserve">cf. la </w:t>
      </w:r>
      <w:hyperlink r:id="rId22" w:history="1">
        <w:r w:rsidRPr="003A5060">
          <w:rPr>
            <w:rStyle w:val="Lienhypertexte"/>
            <w:i/>
          </w:rPr>
          <w:t xml:space="preserve">loi de </w:t>
        </w:r>
        <w:proofErr w:type="spellStart"/>
        <w:r w:rsidRPr="003A5060">
          <w:rPr>
            <w:rStyle w:val="Lienhypertexte"/>
            <w:i/>
          </w:rPr>
          <w:t>Metcalfe</w:t>
        </w:r>
        <w:proofErr w:type="spellEnd"/>
      </w:hyperlink>
      <w:r w:rsidRPr="003A5060">
        <w:rPr>
          <w:i/>
        </w:rPr>
        <w:t xml:space="preserve"> qui  établit que la valeur d’un réseau est une fonction quadratique du nombre d’utilisateurs</w:t>
      </w:r>
      <w:r>
        <w:t xml:space="preserve">). </w:t>
      </w:r>
    </w:p>
    <w:p w:rsidR="00954002" w:rsidRDefault="00954002" w:rsidP="00954002">
      <w:pPr>
        <w:pStyle w:val="Sous-titre"/>
        <w:tabs>
          <w:tab w:val="left" w:pos="2717"/>
        </w:tabs>
      </w:pPr>
      <w:r>
        <w:t xml:space="preserve">Impact des </w:t>
      </w:r>
      <w:r w:rsidR="00710124">
        <w:t xml:space="preserve">évènements de type </w:t>
      </w:r>
      <w:r>
        <w:t>élections</w:t>
      </w:r>
    </w:p>
    <w:p w:rsidR="008A73B1" w:rsidRDefault="00A44992" w:rsidP="00EC05D3">
      <w:pPr>
        <w:jc w:val="both"/>
        <w:rPr>
          <w:lang w:eastAsia="fr-FR"/>
        </w:rPr>
      </w:pPr>
      <w:r>
        <w:rPr>
          <w:lang w:eastAsia="fr-FR"/>
        </w:rPr>
        <w:t xml:space="preserve">Certaines techniques avancées de traitement des séries temporelles permettent d’estimer l’impact diffus d’un évènement ponctuel sur la série. </w:t>
      </w:r>
      <w:r w:rsidR="001F1A42">
        <w:rPr>
          <w:lang w:eastAsia="fr-FR"/>
        </w:rPr>
        <w:t>I</w:t>
      </w:r>
      <w:r w:rsidR="0036077E">
        <w:rPr>
          <w:lang w:eastAsia="fr-FR"/>
        </w:rPr>
        <w:t>ci</w:t>
      </w:r>
      <w:r w:rsidR="00EC05D3">
        <w:rPr>
          <w:lang w:eastAsia="fr-FR"/>
        </w:rPr>
        <w:t xml:space="preserve"> (</w:t>
      </w:r>
      <w:r w:rsidR="00EC05D3">
        <w:rPr>
          <w:lang w:eastAsia="fr-FR"/>
        </w:rPr>
        <w:fldChar w:fldCharType="begin"/>
      </w:r>
      <w:r w:rsidR="00EC05D3">
        <w:rPr>
          <w:lang w:eastAsia="fr-FR"/>
        </w:rPr>
        <w:instrText xml:space="preserve"> REF _Ref474510526 \h </w:instrText>
      </w:r>
      <w:r w:rsidR="00EC05D3">
        <w:rPr>
          <w:lang w:eastAsia="fr-FR"/>
        </w:rPr>
      </w:r>
      <w:r w:rsidR="00EC05D3">
        <w:rPr>
          <w:lang w:eastAsia="fr-FR"/>
        </w:rPr>
        <w:fldChar w:fldCharType="separate"/>
      </w:r>
      <w:r w:rsidR="001C3E85">
        <w:t xml:space="preserve">Figure </w:t>
      </w:r>
      <w:r w:rsidR="001C3E85">
        <w:rPr>
          <w:noProof/>
        </w:rPr>
        <w:t>9</w:t>
      </w:r>
      <w:r w:rsidR="00EC05D3">
        <w:rPr>
          <w:lang w:eastAsia="fr-FR"/>
        </w:rPr>
        <w:fldChar w:fldCharType="end"/>
      </w:r>
      <w:r w:rsidR="00EC05D3">
        <w:rPr>
          <w:lang w:eastAsia="fr-FR"/>
        </w:rPr>
        <w:t>)</w:t>
      </w:r>
      <w:r w:rsidR="0036077E">
        <w:rPr>
          <w:lang w:eastAsia="fr-FR"/>
        </w:rPr>
        <w:t xml:space="preserve">, nous avons </w:t>
      </w:r>
      <w:r w:rsidR="001F1A42">
        <w:rPr>
          <w:lang w:eastAsia="fr-FR"/>
        </w:rPr>
        <w:t xml:space="preserve">utilisé une </w:t>
      </w:r>
      <w:r w:rsidR="00D57E56">
        <w:rPr>
          <w:lang w:eastAsia="fr-FR"/>
        </w:rPr>
        <w:t>méthode</w:t>
      </w:r>
      <w:r w:rsidR="001F1A42">
        <w:rPr>
          <w:lang w:eastAsia="fr-FR"/>
        </w:rPr>
        <w:t xml:space="preserve"> plus « empirique » </w:t>
      </w:r>
      <w:r w:rsidR="0036077E">
        <w:rPr>
          <w:lang w:eastAsia="fr-FR"/>
        </w:rPr>
        <w:t>tout d’abord</w:t>
      </w:r>
      <w:r w:rsidR="00D641CC">
        <w:rPr>
          <w:lang w:eastAsia="fr-FR"/>
        </w:rPr>
        <w:t xml:space="preserve"> en</w:t>
      </w:r>
      <w:r w:rsidR="0036077E">
        <w:rPr>
          <w:lang w:eastAsia="fr-FR"/>
        </w:rPr>
        <w:t xml:space="preserve"> </w:t>
      </w:r>
      <w:r w:rsidR="0036077E" w:rsidRPr="0018500E">
        <w:rPr>
          <w:b/>
          <w:lang w:eastAsia="fr-FR"/>
        </w:rPr>
        <w:t>liss</w:t>
      </w:r>
      <w:r w:rsidR="00D641CC">
        <w:rPr>
          <w:b/>
          <w:lang w:eastAsia="fr-FR"/>
        </w:rPr>
        <w:t>ant</w:t>
      </w:r>
      <w:r w:rsidR="0036077E">
        <w:rPr>
          <w:lang w:eastAsia="fr-FR"/>
        </w:rPr>
        <w:t xml:space="preserve"> la série temporelle des adhésions par une </w:t>
      </w:r>
      <w:proofErr w:type="spellStart"/>
      <w:r w:rsidR="0036077E">
        <w:rPr>
          <w:i/>
          <w:lang w:eastAsia="fr-FR"/>
        </w:rPr>
        <w:t>smoothing</w:t>
      </w:r>
      <w:proofErr w:type="spellEnd"/>
      <w:r w:rsidR="0036077E">
        <w:rPr>
          <w:i/>
          <w:lang w:eastAsia="fr-FR"/>
        </w:rPr>
        <w:t xml:space="preserve"> </w:t>
      </w:r>
      <w:proofErr w:type="spellStart"/>
      <w:r w:rsidR="0036077E">
        <w:rPr>
          <w:i/>
          <w:lang w:eastAsia="fr-FR"/>
        </w:rPr>
        <w:t>spline</w:t>
      </w:r>
      <w:proofErr w:type="spellEnd"/>
      <w:r w:rsidR="0036077E">
        <w:rPr>
          <w:lang w:eastAsia="fr-FR"/>
        </w:rPr>
        <w:t xml:space="preserve"> (courbe noire), </w:t>
      </w:r>
      <w:r w:rsidR="006A57C5">
        <w:rPr>
          <w:lang w:eastAsia="fr-FR"/>
        </w:rPr>
        <w:t>puis en</w:t>
      </w:r>
      <w:r w:rsidR="0036077E">
        <w:rPr>
          <w:lang w:eastAsia="fr-FR"/>
        </w:rPr>
        <w:t xml:space="preserve"> estim</w:t>
      </w:r>
      <w:r w:rsidR="006A57C5">
        <w:rPr>
          <w:lang w:eastAsia="fr-FR"/>
        </w:rPr>
        <w:t>ant</w:t>
      </w:r>
      <w:r w:rsidR="0036077E">
        <w:rPr>
          <w:lang w:eastAsia="fr-FR"/>
        </w:rPr>
        <w:t xml:space="preserve"> la </w:t>
      </w:r>
      <w:r w:rsidR="0036077E" w:rsidRPr="0018500E">
        <w:rPr>
          <w:b/>
          <w:lang w:eastAsia="fr-FR"/>
        </w:rPr>
        <w:t>tendance basse</w:t>
      </w:r>
      <w:r w:rsidR="0036077E">
        <w:rPr>
          <w:lang w:eastAsia="fr-FR"/>
        </w:rPr>
        <w:t xml:space="preserve"> des </w:t>
      </w:r>
      <w:r w:rsidR="0018500E">
        <w:rPr>
          <w:lang w:eastAsia="fr-FR"/>
        </w:rPr>
        <w:t>adhésions journalières</w:t>
      </w:r>
      <w:r w:rsidR="0036077E">
        <w:rPr>
          <w:lang w:eastAsia="fr-FR"/>
        </w:rPr>
        <w:t xml:space="preserve"> (30</w:t>
      </w:r>
      <w:r w:rsidR="0036077E" w:rsidRPr="0036077E">
        <w:rPr>
          <w:vertAlign w:val="superscript"/>
          <w:lang w:eastAsia="fr-FR"/>
        </w:rPr>
        <w:t>ème</w:t>
      </w:r>
      <w:r w:rsidR="0036077E">
        <w:rPr>
          <w:lang w:eastAsia="fr-FR"/>
        </w:rPr>
        <w:t xml:space="preserve"> percentile) par une régression </w:t>
      </w:r>
      <w:proofErr w:type="spellStart"/>
      <w:r w:rsidR="0036077E">
        <w:rPr>
          <w:lang w:eastAsia="fr-FR"/>
        </w:rPr>
        <w:t>spline</w:t>
      </w:r>
      <w:proofErr w:type="spellEnd"/>
      <w:r w:rsidR="0036077E">
        <w:rPr>
          <w:lang w:eastAsia="fr-FR"/>
        </w:rPr>
        <w:t xml:space="preserve"> sur quantile (courbe bleue). </w:t>
      </w:r>
    </w:p>
    <w:p w:rsidR="00C41999" w:rsidRPr="00C57A32" w:rsidRDefault="00C41999" w:rsidP="00C57A32">
      <w:pPr>
        <w:pStyle w:val="Sansinterligne"/>
      </w:pPr>
    </w:p>
    <w:p w:rsidR="00C57A32" w:rsidRPr="00C57A32" w:rsidRDefault="00C57A32" w:rsidP="00C57A32">
      <w:pPr>
        <w:pStyle w:val="Sansinterligne"/>
      </w:pPr>
      <w:r w:rsidRPr="00C57A32">
        <w:rPr>
          <w:noProof/>
          <w:lang w:eastAsia="fr-FR"/>
        </w:rPr>
        <w:lastRenderedPageBreak/>
        <w:drawing>
          <wp:inline distT="0" distB="0" distL="0" distR="0" wp14:anchorId="4CBE4D80" wp14:editId="3BB010C6">
            <wp:extent cx="5762627" cy="1881963"/>
            <wp:effectExtent l="0" t="0" r="0" b="444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t="13262" b="11018"/>
                    <a:stretch/>
                  </pic:blipFill>
                  <pic:spPr bwMode="auto">
                    <a:xfrm>
                      <a:off x="0" y="0"/>
                      <a:ext cx="5760720" cy="1881340"/>
                    </a:xfrm>
                    <a:prstGeom prst="rect">
                      <a:avLst/>
                    </a:prstGeom>
                    <a:ln>
                      <a:noFill/>
                    </a:ln>
                    <a:extLst>
                      <a:ext uri="{53640926-AAD7-44D8-BBD7-CCE9431645EC}">
                        <a14:shadowObscured xmlns:a14="http://schemas.microsoft.com/office/drawing/2010/main"/>
                      </a:ext>
                    </a:extLst>
                  </pic:spPr>
                </pic:pic>
              </a:graphicData>
            </a:graphic>
          </wp:inline>
        </w:drawing>
      </w:r>
    </w:p>
    <w:p w:rsidR="00C57A32" w:rsidRPr="00C57A32" w:rsidRDefault="00253252" w:rsidP="00253252">
      <w:pPr>
        <w:pStyle w:val="Sansinterligne"/>
        <w:jc w:val="right"/>
      </w:pPr>
      <w:r>
        <w:rPr>
          <w:noProof/>
          <w:lang w:eastAsia="fr-FR"/>
        </w:rPr>
        <w:drawing>
          <wp:inline distT="0" distB="0" distL="0" distR="0" wp14:anchorId="3E2E1F5B" wp14:editId="5F8C8C0A">
            <wp:extent cx="3511296" cy="1723949"/>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1" r="-2499"/>
                    <a:stretch/>
                  </pic:blipFill>
                  <pic:spPr bwMode="auto">
                    <a:xfrm>
                      <a:off x="0" y="0"/>
                      <a:ext cx="3514286" cy="1725417"/>
                    </a:xfrm>
                    <a:prstGeom prst="rect">
                      <a:avLst/>
                    </a:prstGeom>
                    <a:ln>
                      <a:noFill/>
                    </a:ln>
                    <a:extLst>
                      <a:ext uri="{53640926-AAD7-44D8-BBD7-CCE9431645EC}">
                        <a14:shadowObscured xmlns:a14="http://schemas.microsoft.com/office/drawing/2010/main"/>
                      </a:ext>
                    </a:extLst>
                  </pic:spPr>
                </pic:pic>
              </a:graphicData>
            </a:graphic>
          </wp:inline>
        </w:drawing>
      </w:r>
    </w:p>
    <w:p w:rsidR="0036077E" w:rsidRDefault="00C41999" w:rsidP="00C41999">
      <w:pPr>
        <w:pStyle w:val="Lgende"/>
        <w:jc w:val="center"/>
      </w:pPr>
      <w:bookmarkStart w:id="7" w:name="_Ref474510526"/>
      <w:r>
        <w:t xml:space="preserve">Figure </w:t>
      </w:r>
      <w:r w:rsidR="001C3E85">
        <w:fldChar w:fldCharType="begin"/>
      </w:r>
      <w:r w:rsidR="001C3E85">
        <w:instrText xml:space="preserve"> SEQ Figure \* ARABIC </w:instrText>
      </w:r>
      <w:r w:rsidR="001C3E85">
        <w:fldChar w:fldCharType="separate"/>
      </w:r>
      <w:r w:rsidR="001C3E85">
        <w:rPr>
          <w:noProof/>
        </w:rPr>
        <w:t>9</w:t>
      </w:r>
      <w:r w:rsidR="001C3E85">
        <w:rPr>
          <w:noProof/>
        </w:rPr>
        <w:fldChar w:fldCharType="end"/>
      </w:r>
      <w:bookmarkEnd w:id="7"/>
      <w:r>
        <w:t>: lissage du nombre d'adhésions</w:t>
      </w:r>
      <w:r w:rsidR="00C57A32">
        <w:t xml:space="preserve"> et facteur multiplicatif électoral</w:t>
      </w:r>
    </w:p>
    <w:p w:rsidR="007D3A94" w:rsidRPr="007D3A94" w:rsidRDefault="007D3A94" w:rsidP="0036077E">
      <w:pPr>
        <w:jc w:val="both"/>
        <w:rPr>
          <w:sz w:val="2"/>
          <w:lang w:eastAsia="fr-FR"/>
        </w:rPr>
      </w:pPr>
    </w:p>
    <w:p w:rsidR="00B6558F" w:rsidRDefault="00C57A32" w:rsidP="0036077E">
      <w:pPr>
        <w:jc w:val="both"/>
        <w:rPr>
          <w:lang w:eastAsia="fr-FR"/>
        </w:rPr>
      </w:pPr>
      <w:r>
        <w:rPr>
          <w:lang w:eastAsia="fr-FR"/>
        </w:rPr>
        <w:t xml:space="preserve">Le ratio </w:t>
      </w:r>
      <w:r w:rsidR="0036077E">
        <w:rPr>
          <w:lang w:eastAsia="fr-FR"/>
        </w:rPr>
        <w:t>entre les deux courbes l</w:t>
      </w:r>
      <w:r>
        <w:rPr>
          <w:lang w:eastAsia="fr-FR"/>
        </w:rPr>
        <w:t>issées</w:t>
      </w:r>
      <w:r w:rsidR="001742C3">
        <w:rPr>
          <w:lang w:eastAsia="fr-FR"/>
        </w:rPr>
        <w:t xml:space="preserve"> (figure inférieure)</w:t>
      </w:r>
      <w:r>
        <w:rPr>
          <w:lang w:eastAsia="fr-FR"/>
        </w:rPr>
        <w:t xml:space="preserve"> donne une indication du facteur d’augmentation des </w:t>
      </w:r>
      <w:r w:rsidR="0036077E">
        <w:rPr>
          <w:lang w:eastAsia="fr-FR"/>
        </w:rPr>
        <w:t xml:space="preserve">adhésions </w:t>
      </w:r>
      <w:r w:rsidR="00834A19">
        <w:rPr>
          <w:lang w:eastAsia="fr-FR"/>
        </w:rPr>
        <w:t>dues uniquement au contexte électoral</w:t>
      </w:r>
      <w:r w:rsidR="00D57E56">
        <w:rPr>
          <w:lang w:eastAsia="fr-FR"/>
        </w:rPr>
        <w:t xml:space="preserve"> ou évènements équivalents, c’est-à-dire un </w:t>
      </w:r>
      <w:r>
        <w:rPr>
          <w:lang w:eastAsia="fr-FR"/>
        </w:rPr>
        <w:t xml:space="preserve">facteur multiplicatif par rapport à un niveau basal </w:t>
      </w:r>
      <w:r w:rsidR="009A55F7">
        <w:rPr>
          <w:lang w:eastAsia="fr-FR"/>
        </w:rPr>
        <w:t xml:space="preserve">hypothétique </w:t>
      </w:r>
      <w:r>
        <w:rPr>
          <w:lang w:eastAsia="fr-FR"/>
        </w:rPr>
        <w:t>d’</w:t>
      </w:r>
      <w:r w:rsidR="00D57E56">
        <w:rPr>
          <w:lang w:eastAsia="fr-FR"/>
        </w:rPr>
        <w:t>adhésions</w:t>
      </w:r>
      <w:r>
        <w:rPr>
          <w:lang w:eastAsia="fr-FR"/>
        </w:rPr>
        <w:t xml:space="preserve">.  </w:t>
      </w:r>
      <w:r w:rsidR="008A148F">
        <w:rPr>
          <w:lang w:eastAsia="fr-FR"/>
        </w:rPr>
        <w:t>L’effet électoral commence souvent plusieurs mois avant l’élection, et peut prendre la forme d’une gaussienne (par exemple pour les élections régionales de 2015, donc un effet symétrique avant et après la date), mais peut aussi s’éteindre quasiment dès le lendemain de l’élection (c’est le cas des européennes de 2014, et en partie de la présidentielle de 2012). D’un point de vue quantitatif, le facteur mul</w:t>
      </w:r>
      <w:r w:rsidR="002718E2">
        <w:rPr>
          <w:lang w:eastAsia="fr-FR"/>
        </w:rPr>
        <w:t>tiplicatif peut aller dépasser 3</w:t>
      </w:r>
      <w:r w:rsidR="008A148F">
        <w:rPr>
          <w:lang w:eastAsia="fr-FR"/>
        </w:rPr>
        <w:t xml:space="preserve"> fois le niveau basal d’adhésions sur un créneau d’un mois autour de l’élection.</w:t>
      </w:r>
    </w:p>
    <w:p w:rsidR="00B6558F" w:rsidRDefault="00B6558F" w:rsidP="00B6558F">
      <w:pPr>
        <w:pStyle w:val="Citationintense"/>
      </w:pPr>
      <w:r>
        <w:t>Synthèse</w:t>
      </w:r>
    </w:p>
    <w:p w:rsidR="00C539DB" w:rsidRDefault="00B7408C" w:rsidP="0036077E">
      <w:pPr>
        <w:jc w:val="both"/>
        <w:rPr>
          <w:lang w:eastAsia="fr-FR"/>
        </w:rPr>
      </w:pPr>
      <w:r>
        <w:rPr>
          <w:lang w:eastAsia="fr-FR"/>
        </w:rPr>
        <w:t xml:space="preserve">Tout au long </w:t>
      </w:r>
      <w:r w:rsidR="007D33A0">
        <w:rPr>
          <w:lang w:eastAsia="fr-FR"/>
        </w:rPr>
        <w:t xml:space="preserve">de cette étude, </w:t>
      </w:r>
      <w:r w:rsidR="00C539DB">
        <w:rPr>
          <w:lang w:eastAsia="fr-FR"/>
        </w:rPr>
        <w:t xml:space="preserve">nous nous sommes efforcés d’analyser la dynamique des adhésions à un mouvement politique tout en avançant des hypothèses explicatives, liées aux spécificités de ce mouvement politique. </w:t>
      </w:r>
      <w:r>
        <w:rPr>
          <w:lang w:eastAsia="fr-FR"/>
        </w:rPr>
        <w:t>Nous avons modélisé l’évolution des adhésions sur presque 10 années, en décomposant en plusieurs périodes : une phase de croissance exponentielle, puis quadratique, puis enfin une croissance forte sur les derniers mois. Nous avons pu expliquer une partie de ces évolutions par des facteurs comme :</w:t>
      </w:r>
    </w:p>
    <w:p w:rsidR="00B7408C" w:rsidRDefault="00B7408C" w:rsidP="00B7408C">
      <w:pPr>
        <w:pStyle w:val="Paragraphedeliste"/>
        <w:numPr>
          <w:ilvl w:val="0"/>
          <w:numId w:val="7"/>
        </w:numPr>
        <w:jc w:val="both"/>
        <w:rPr>
          <w:lang w:eastAsia="fr-FR"/>
        </w:rPr>
      </w:pPr>
      <w:r>
        <w:rPr>
          <w:lang w:eastAsia="fr-FR"/>
        </w:rPr>
        <w:t>l’heure de la journée,</w:t>
      </w:r>
    </w:p>
    <w:p w:rsidR="00B7408C" w:rsidRDefault="00B7408C" w:rsidP="00B7408C">
      <w:pPr>
        <w:pStyle w:val="Paragraphedeliste"/>
        <w:numPr>
          <w:ilvl w:val="0"/>
          <w:numId w:val="7"/>
        </w:numPr>
        <w:jc w:val="both"/>
        <w:rPr>
          <w:lang w:eastAsia="fr-FR"/>
        </w:rPr>
      </w:pPr>
      <w:r>
        <w:rPr>
          <w:lang w:eastAsia="fr-FR"/>
        </w:rPr>
        <w:t>la saison de l’année</w:t>
      </w:r>
    </w:p>
    <w:p w:rsidR="00B7408C" w:rsidRDefault="00B7408C" w:rsidP="00B7408C">
      <w:pPr>
        <w:pStyle w:val="Paragraphedeliste"/>
        <w:numPr>
          <w:ilvl w:val="0"/>
          <w:numId w:val="7"/>
        </w:numPr>
        <w:jc w:val="both"/>
        <w:rPr>
          <w:lang w:eastAsia="fr-FR"/>
        </w:rPr>
      </w:pPr>
      <w:r>
        <w:rPr>
          <w:lang w:eastAsia="fr-FR"/>
        </w:rPr>
        <w:t xml:space="preserve">la médiatisation (tendance </w:t>
      </w:r>
      <w:r w:rsidR="0008790B">
        <w:rPr>
          <w:lang w:eastAsia="fr-FR"/>
        </w:rPr>
        <w:t>Google</w:t>
      </w:r>
      <w:r>
        <w:rPr>
          <w:lang w:eastAsia="fr-FR"/>
        </w:rPr>
        <w:t xml:space="preserve">) </w:t>
      </w:r>
    </w:p>
    <w:p w:rsidR="00B7408C" w:rsidRDefault="00B7408C" w:rsidP="00B7408C">
      <w:pPr>
        <w:pStyle w:val="Paragraphedeliste"/>
        <w:numPr>
          <w:ilvl w:val="0"/>
          <w:numId w:val="7"/>
        </w:numPr>
        <w:jc w:val="both"/>
        <w:rPr>
          <w:lang w:eastAsia="fr-FR"/>
        </w:rPr>
      </w:pPr>
      <w:r>
        <w:rPr>
          <w:lang w:eastAsia="fr-FR"/>
        </w:rPr>
        <w:t>les évènements particuliers (élections)</w:t>
      </w:r>
    </w:p>
    <w:p w:rsidR="007D07E8" w:rsidRDefault="00B7408C" w:rsidP="0036077E">
      <w:pPr>
        <w:jc w:val="both"/>
        <w:rPr>
          <w:lang w:eastAsia="fr-FR"/>
        </w:rPr>
      </w:pPr>
      <w:r>
        <w:rPr>
          <w:lang w:eastAsia="fr-FR"/>
        </w:rPr>
        <w:t xml:space="preserve">Dans les mois à venir, le suivi de la campagne présidentielle et législative 2017 apportera sans doute des éléments intéressants pour compléter cette étude.  </w:t>
      </w:r>
      <w:r w:rsidR="000E7D97">
        <w:rPr>
          <w:lang w:eastAsia="fr-FR"/>
        </w:rPr>
        <w:t xml:space="preserve">L’ensemble des données et scripts statistiques sera </w:t>
      </w:r>
      <w:r w:rsidR="007D07E8">
        <w:rPr>
          <w:lang w:eastAsia="fr-FR"/>
        </w:rPr>
        <w:t xml:space="preserve">bientôt </w:t>
      </w:r>
      <w:r w:rsidR="000E7D97">
        <w:rPr>
          <w:lang w:eastAsia="fr-FR"/>
        </w:rPr>
        <w:t xml:space="preserve">publié sur </w:t>
      </w:r>
      <w:proofErr w:type="spellStart"/>
      <w:r w:rsidR="000E7D97">
        <w:rPr>
          <w:lang w:eastAsia="fr-FR"/>
        </w:rPr>
        <w:t>GitLab</w:t>
      </w:r>
      <w:proofErr w:type="spellEnd"/>
      <w:r w:rsidR="007D07E8">
        <w:rPr>
          <w:lang w:eastAsia="fr-FR"/>
        </w:rPr>
        <w:t xml:space="preserve"> (page personnelle </w:t>
      </w:r>
      <w:hyperlink r:id="rId25" w:history="1">
        <w:r w:rsidR="007D07E8" w:rsidRPr="007D07E8">
          <w:rPr>
            <w:rStyle w:val="Lienhypertexte"/>
            <w:lang w:eastAsia="fr-FR"/>
          </w:rPr>
          <w:t>ici</w:t>
        </w:r>
      </w:hyperlink>
      <w:r w:rsidR="007D07E8">
        <w:rPr>
          <w:lang w:eastAsia="fr-FR"/>
        </w:rPr>
        <w:t>)</w:t>
      </w:r>
      <w:r w:rsidR="000E7D97">
        <w:rPr>
          <w:lang w:eastAsia="fr-FR"/>
        </w:rPr>
        <w:t xml:space="preserve">. </w:t>
      </w:r>
      <w:r w:rsidR="007D07E8">
        <w:rPr>
          <w:lang w:eastAsia="fr-FR"/>
        </w:rPr>
        <w:t>Je tiens enfin à remercier le personnel du mouvement politique UPR pour la fourniture des données ainsi que les précisions par téléphone.</w:t>
      </w:r>
      <w:bookmarkStart w:id="8" w:name="_GoBack"/>
      <w:bookmarkEnd w:id="8"/>
    </w:p>
    <w:sectPr w:rsidR="007D07E8" w:rsidSect="007D3A94">
      <w:pgSz w:w="11906" w:h="16838"/>
      <w:pgMar w:top="1276" w:right="1417" w:bottom="70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9BB" w:rsidRDefault="00DC29BB" w:rsidP="001E6580">
      <w:pPr>
        <w:spacing w:after="0" w:line="240" w:lineRule="auto"/>
      </w:pPr>
      <w:r>
        <w:separator/>
      </w:r>
    </w:p>
  </w:endnote>
  <w:endnote w:type="continuationSeparator" w:id="0">
    <w:p w:rsidR="00DC29BB" w:rsidRDefault="00DC29BB" w:rsidP="001E6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9BB" w:rsidRDefault="00DC29BB" w:rsidP="001E6580">
      <w:pPr>
        <w:spacing w:after="0" w:line="240" w:lineRule="auto"/>
      </w:pPr>
      <w:r>
        <w:separator/>
      </w:r>
    </w:p>
  </w:footnote>
  <w:footnote w:type="continuationSeparator" w:id="0">
    <w:p w:rsidR="00DC29BB" w:rsidRDefault="00DC29BB" w:rsidP="001E65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20287"/>
    <w:multiLevelType w:val="hybridMultilevel"/>
    <w:tmpl w:val="CD9A024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4DC2924"/>
    <w:multiLevelType w:val="hybridMultilevel"/>
    <w:tmpl w:val="28BC4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70D224C"/>
    <w:multiLevelType w:val="hybridMultilevel"/>
    <w:tmpl w:val="F50A2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96B39E0"/>
    <w:multiLevelType w:val="hybridMultilevel"/>
    <w:tmpl w:val="F22E8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552429D"/>
    <w:multiLevelType w:val="hybridMultilevel"/>
    <w:tmpl w:val="7A50BF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8744D1D"/>
    <w:multiLevelType w:val="hybridMultilevel"/>
    <w:tmpl w:val="42FC3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A613E55"/>
    <w:multiLevelType w:val="hybridMultilevel"/>
    <w:tmpl w:val="C81C9120"/>
    <w:lvl w:ilvl="0" w:tplc="2852493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707"/>
    <w:rsid w:val="000036DE"/>
    <w:rsid w:val="0000452B"/>
    <w:rsid w:val="00017508"/>
    <w:rsid w:val="00023053"/>
    <w:rsid w:val="0002351C"/>
    <w:rsid w:val="000303F2"/>
    <w:rsid w:val="000333A9"/>
    <w:rsid w:val="00042F62"/>
    <w:rsid w:val="00045652"/>
    <w:rsid w:val="000529CF"/>
    <w:rsid w:val="00053743"/>
    <w:rsid w:val="00057E6E"/>
    <w:rsid w:val="000800E9"/>
    <w:rsid w:val="0008790B"/>
    <w:rsid w:val="000C01E2"/>
    <w:rsid w:val="000D4736"/>
    <w:rsid w:val="000E0992"/>
    <w:rsid w:val="000E10C9"/>
    <w:rsid w:val="000E7D97"/>
    <w:rsid w:val="0010197A"/>
    <w:rsid w:val="001049CB"/>
    <w:rsid w:val="00105EA8"/>
    <w:rsid w:val="001068CF"/>
    <w:rsid w:val="0011356B"/>
    <w:rsid w:val="00114862"/>
    <w:rsid w:val="00114EC9"/>
    <w:rsid w:val="0011759C"/>
    <w:rsid w:val="00120CA4"/>
    <w:rsid w:val="00124A18"/>
    <w:rsid w:val="00125B67"/>
    <w:rsid w:val="001435AA"/>
    <w:rsid w:val="001466F7"/>
    <w:rsid w:val="0015013B"/>
    <w:rsid w:val="001742C3"/>
    <w:rsid w:val="00183DD6"/>
    <w:rsid w:val="0018500E"/>
    <w:rsid w:val="001857FB"/>
    <w:rsid w:val="001858EF"/>
    <w:rsid w:val="0018679F"/>
    <w:rsid w:val="001904E1"/>
    <w:rsid w:val="00190C2A"/>
    <w:rsid w:val="00191F59"/>
    <w:rsid w:val="00194C20"/>
    <w:rsid w:val="00194E18"/>
    <w:rsid w:val="001B5F26"/>
    <w:rsid w:val="001C3E85"/>
    <w:rsid w:val="001E20FC"/>
    <w:rsid w:val="001E3923"/>
    <w:rsid w:val="001E6580"/>
    <w:rsid w:val="001F1A42"/>
    <w:rsid w:val="001F3A13"/>
    <w:rsid w:val="001F6774"/>
    <w:rsid w:val="00201FBB"/>
    <w:rsid w:val="00207108"/>
    <w:rsid w:val="00214CC3"/>
    <w:rsid w:val="00217D1F"/>
    <w:rsid w:val="0022649D"/>
    <w:rsid w:val="00233845"/>
    <w:rsid w:val="00253252"/>
    <w:rsid w:val="00253659"/>
    <w:rsid w:val="002718E2"/>
    <w:rsid w:val="00272BC9"/>
    <w:rsid w:val="00274C6C"/>
    <w:rsid w:val="00280748"/>
    <w:rsid w:val="00283A0D"/>
    <w:rsid w:val="002A0924"/>
    <w:rsid w:val="002B06C3"/>
    <w:rsid w:val="002B5D4D"/>
    <w:rsid w:val="002D2D4D"/>
    <w:rsid w:val="0031454E"/>
    <w:rsid w:val="003162DA"/>
    <w:rsid w:val="00325495"/>
    <w:rsid w:val="0033001F"/>
    <w:rsid w:val="003342FD"/>
    <w:rsid w:val="0034222A"/>
    <w:rsid w:val="00343EF0"/>
    <w:rsid w:val="003524C0"/>
    <w:rsid w:val="003530B3"/>
    <w:rsid w:val="0035380E"/>
    <w:rsid w:val="0036077E"/>
    <w:rsid w:val="00362529"/>
    <w:rsid w:val="00363131"/>
    <w:rsid w:val="003716B3"/>
    <w:rsid w:val="00381F5F"/>
    <w:rsid w:val="003A2086"/>
    <w:rsid w:val="003A39FC"/>
    <w:rsid w:val="003A3D06"/>
    <w:rsid w:val="003A5060"/>
    <w:rsid w:val="003B4498"/>
    <w:rsid w:val="003B51FD"/>
    <w:rsid w:val="003B7AA6"/>
    <w:rsid w:val="003B7ABC"/>
    <w:rsid w:val="003C2707"/>
    <w:rsid w:val="003D491D"/>
    <w:rsid w:val="003E4913"/>
    <w:rsid w:val="003F4F5F"/>
    <w:rsid w:val="00411766"/>
    <w:rsid w:val="00413C58"/>
    <w:rsid w:val="004172FB"/>
    <w:rsid w:val="00427855"/>
    <w:rsid w:val="0044309C"/>
    <w:rsid w:val="0044329F"/>
    <w:rsid w:val="004477E7"/>
    <w:rsid w:val="004512E5"/>
    <w:rsid w:val="00453C61"/>
    <w:rsid w:val="0045511D"/>
    <w:rsid w:val="00471080"/>
    <w:rsid w:val="004B1FB8"/>
    <w:rsid w:val="004B2FF8"/>
    <w:rsid w:val="004B7B47"/>
    <w:rsid w:val="004D3D57"/>
    <w:rsid w:val="004E65F1"/>
    <w:rsid w:val="004F6CF6"/>
    <w:rsid w:val="00500790"/>
    <w:rsid w:val="005021F9"/>
    <w:rsid w:val="00504D44"/>
    <w:rsid w:val="00505D04"/>
    <w:rsid w:val="00516D6F"/>
    <w:rsid w:val="005238C5"/>
    <w:rsid w:val="00532BB6"/>
    <w:rsid w:val="0055319B"/>
    <w:rsid w:val="005652B6"/>
    <w:rsid w:val="00581B06"/>
    <w:rsid w:val="00597258"/>
    <w:rsid w:val="005B39E2"/>
    <w:rsid w:val="005B6DCA"/>
    <w:rsid w:val="005D2925"/>
    <w:rsid w:val="005D4F64"/>
    <w:rsid w:val="005E025F"/>
    <w:rsid w:val="0060132F"/>
    <w:rsid w:val="00603621"/>
    <w:rsid w:val="00615D9F"/>
    <w:rsid w:val="006279B0"/>
    <w:rsid w:val="006356BC"/>
    <w:rsid w:val="00643D1E"/>
    <w:rsid w:val="006470E1"/>
    <w:rsid w:val="00647EB2"/>
    <w:rsid w:val="006579C2"/>
    <w:rsid w:val="0067446D"/>
    <w:rsid w:val="0068373F"/>
    <w:rsid w:val="00684001"/>
    <w:rsid w:val="00684B5A"/>
    <w:rsid w:val="0069185E"/>
    <w:rsid w:val="00694B36"/>
    <w:rsid w:val="00697223"/>
    <w:rsid w:val="006A57C5"/>
    <w:rsid w:val="006C532C"/>
    <w:rsid w:val="006C74FB"/>
    <w:rsid w:val="006D77D7"/>
    <w:rsid w:val="006E2C76"/>
    <w:rsid w:val="006E5606"/>
    <w:rsid w:val="006F09B6"/>
    <w:rsid w:val="006F0ABC"/>
    <w:rsid w:val="006F164A"/>
    <w:rsid w:val="00710124"/>
    <w:rsid w:val="00720A9D"/>
    <w:rsid w:val="00725797"/>
    <w:rsid w:val="00727CE1"/>
    <w:rsid w:val="00732161"/>
    <w:rsid w:val="00737179"/>
    <w:rsid w:val="00737619"/>
    <w:rsid w:val="0075003A"/>
    <w:rsid w:val="00753C49"/>
    <w:rsid w:val="00756750"/>
    <w:rsid w:val="00762022"/>
    <w:rsid w:val="00782007"/>
    <w:rsid w:val="00783FF4"/>
    <w:rsid w:val="00792240"/>
    <w:rsid w:val="00795674"/>
    <w:rsid w:val="007B307E"/>
    <w:rsid w:val="007C72D2"/>
    <w:rsid w:val="007C7F1C"/>
    <w:rsid w:val="007D07E8"/>
    <w:rsid w:val="007D33A0"/>
    <w:rsid w:val="007D3A94"/>
    <w:rsid w:val="007E6D91"/>
    <w:rsid w:val="0082579D"/>
    <w:rsid w:val="0083164F"/>
    <w:rsid w:val="00834A19"/>
    <w:rsid w:val="00842B1D"/>
    <w:rsid w:val="00844020"/>
    <w:rsid w:val="00845D8F"/>
    <w:rsid w:val="00846A09"/>
    <w:rsid w:val="00860E6D"/>
    <w:rsid w:val="008765E9"/>
    <w:rsid w:val="00894083"/>
    <w:rsid w:val="00897BB4"/>
    <w:rsid w:val="008A148F"/>
    <w:rsid w:val="008A73B1"/>
    <w:rsid w:val="008B7CD0"/>
    <w:rsid w:val="008C2FB6"/>
    <w:rsid w:val="008C5AC8"/>
    <w:rsid w:val="008E4E7D"/>
    <w:rsid w:val="008F3C19"/>
    <w:rsid w:val="008F78DF"/>
    <w:rsid w:val="00907269"/>
    <w:rsid w:val="009124A1"/>
    <w:rsid w:val="00926590"/>
    <w:rsid w:val="0094284C"/>
    <w:rsid w:val="00954002"/>
    <w:rsid w:val="0098692C"/>
    <w:rsid w:val="009A5115"/>
    <w:rsid w:val="009A55F7"/>
    <w:rsid w:val="009B6FFB"/>
    <w:rsid w:val="009C70C1"/>
    <w:rsid w:val="009D0E28"/>
    <w:rsid w:val="009D24D7"/>
    <w:rsid w:val="009F6321"/>
    <w:rsid w:val="00A200C4"/>
    <w:rsid w:val="00A35566"/>
    <w:rsid w:val="00A40E23"/>
    <w:rsid w:val="00A44992"/>
    <w:rsid w:val="00A537FD"/>
    <w:rsid w:val="00A65B77"/>
    <w:rsid w:val="00A67DC2"/>
    <w:rsid w:val="00A9488B"/>
    <w:rsid w:val="00A958A2"/>
    <w:rsid w:val="00AA451D"/>
    <w:rsid w:val="00AA745F"/>
    <w:rsid w:val="00AC2242"/>
    <w:rsid w:val="00AC3867"/>
    <w:rsid w:val="00AD2B57"/>
    <w:rsid w:val="00AD441B"/>
    <w:rsid w:val="00B00F45"/>
    <w:rsid w:val="00B12930"/>
    <w:rsid w:val="00B178C4"/>
    <w:rsid w:val="00B26967"/>
    <w:rsid w:val="00B31FB8"/>
    <w:rsid w:val="00B3763C"/>
    <w:rsid w:val="00B44783"/>
    <w:rsid w:val="00B61C00"/>
    <w:rsid w:val="00B63785"/>
    <w:rsid w:val="00B64980"/>
    <w:rsid w:val="00B6558F"/>
    <w:rsid w:val="00B7408C"/>
    <w:rsid w:val="00B75562"/>
    <w:rsid w:val="00B91328"/>
    <w:rsid w:val="00BE5C64"/>
    <w:rsid w:val="00BF3562"/>
    <w:rsid w:val="00C02915"/>
    <w:rsid w:val="00C209D0"/>
    <w:rsid w:val="00C27B8C"/>
    <w:rsid w:val="00C300B4"/>
    <w:rsid w:val="00C32E82"/>
    <w:rsid w:val="00C3580E"/>
    <w:rsid w:val="00C41999"/>
    <w:rsid w:val="00C539DB"/>
    <w:rsid w:val="00C57A32"/>
    <w:rsid w:val="00C62F59"/>
    <w:rsid w:val="00C73EF2"/>
    <w:rsid w:val="00C74AF5"/>
    <w:rsid w:val="00C80EFC"/>
    <w:rsid w:val="00C812DC"/>
    <w:rsid w:val="00C822EA"/>
    <w:rsid w:val="00C87628"/>
    <w:rsid w:val="00CA33C0"/>
    <w:rsid w:val="00CA60CF"/>
    <w:rsid w:val="00CB0EC5"/>
    <w:rsid w:val="00CB3A08"/>
    <w:rsid w:val="00CB4A6C"/>
    <w:rsid w:val="00CD22AF"/>
    <w:rsid w:val="00D114A9"/>
    <w:rsid w:val="00D213DE"/>
    <w:rsid w:val="00D30AF9"/>
    <w:rsid w:val="00D57E56"/>
    <w:rsid w:val="00D61382"/>
    <w:rsid w:val="00D641CC"/>
    <w:rsid w:val="00D76936"/>
    <w:rsid w:val="00D86545"/>
    <w:rsid w:val="00DB35B3"/>
    <w:rsid w:val="00DC1477"/>
    <w:rsid w:val="00DC29BB"/>
    <w:rsid w:val="00DC5A25"/>
    <w:rsid w:val="00DD2289"/>
    <w:rsid w:val="00DD340F"/>
    <w:rsid w:val="00DF1BCB"/>
    <w:rsid w:val="00E2088C"/>
    <w:rsid w:val="00E27DB1"/>
    <w:rsid w:val="00E4208C"/>
    <w:rsid w:val="00E42947"/>
    <w:rsid w:val="00E658B5"/>
    <w:rsid w:val="00E75723"/>
    <w:rsid w:val="00EA0342"/>
    <w:rsid w:val="00EA2163"/>
    <w:rsid w:val="00EA4EA5"/>
    <w:rsid w:val="00EC05D3"/>
    <w:rsid w:val="00EC18CD"/>
    <w:rsid w:val="00EC5613"/>
    <w:rsid w:val="00ED2BF1"/>
    <w:rsid w:val="00EE59EA"/>
    <w:rsid w:val="00EF50CB"/>
    <w:rsid w:val="00F0645D"/>
    <w:rsid w:val="00F11F45"/>
    <w:rsid w:val="00F259F0"/>
    <w:rsid w:val="00F275BC"/>
    <w:rsid w:val="00F2772D"/>
    <w:rsid w:val="00F301F3"/>
    <w:rsid w:val="00F31E03"/>
    <w:rsid w:val="00F523EE"/>
    <w:rsid w:val="00F6026E"/>
    <w:rsid w:val="00F6330E"/>
    <w:rsid w:val="00F67C37"/>
    <w:rsid w:val="00F71E4D"/>
    <w:rsid w:val="00F760A5"/>
    <w:rsid w:val="00F84231"/>
    <w:rsid w:val="00FB5CBC"/>
    <w:rsid w:val="00FC115D"/>
    <w:rsid w:val="00FC490D"/>
    <w:rsid w:val="00FD0404"/>
    <w:rsid w:val="00FD2EE0"/>
    <w:rsid w:val="00FE34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822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822EA"/>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82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822EA"/>
    <w:pPr>
      <w:spacing w:after="0" w:line="240" w:lineRule="auto"/>
    </w:pPr>
  </w:style>
  <w:style w:type="character" w:styleId="Lienhypertexte">
    <w:name w:val="Hyperlink"/>
    <w:basedOn w:val="Policepardfaut"/>
    <w:uiPriority w:val="99"/>
    <w:unhideWhenUsed/>
    <w:rsid w:val="00E42947"/>
    <w:rPr>
      <w:color w:val="0000FF" w:themeColor="hyperlink"/>
      <w:u w:val="single"/>
    </w:rPr>
  </w:style>
  <w:style w:type="paragraph" w:styleId="Citationintense">
    <w:name w:val="Intense Quote"/>
    <w:basedOn w:val="Normal"/>
    <w:next w:val="Normal"/>
    <w:link w:val="CitationintenseCar"/>
    <w:uiPriority w:val="30"/>
    <w:qFormat/>
    <w:rsid w:val="006F09B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F09B6"/>
    <w:rPr>
      <w:b/>
      <w:bCs/>
      <w:i/>
      <w:iCs/>
      <w:color w:val="4F81BD" w:themeColor="accent1"/>
    </w:rPr>
  </w:style>
  <w:style w:type="paragraph" w:styleId="Paragraphedeliste">
    <w:name w:val="List Paragraph"/>
    <w:basedOn w:val="Normal"/>
    <w:uiPriority w:val="34"/>
    <w:qFormat/>
    <w:rsid w:val="00ED2BF1"/>
    <w:pPr>
      <w:ind w:left="720"/>
      <w:contextualSpacing/>
    </w:pPr>
  </w:style>
  <w:style w:type="paragraph" w:styleId="Textedebulles">
    <w:name w:val="Balloon Text"/>
    <w:basedOn w:val="Normal"/>
    <w:link w:val="TextedebullesCar"/>
    <w:uiPriority w:val="99"/>
    <w:semiHidden/>
    <w:unhideWhenUsed/>
    <w:rsid w:val="00FB5C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5CBC"/>
    <w:rPr>
      <w:rFonts w:ascii="Tahoma" w:hAnsi="Tahoma" w:cs="Tahoma"/>
      <w:sz w:val="16"/>
      <w:szCs w:val="16"/>
    </w:rPr>
  </w:style>
  <w:style w:type="character" w:styleId="Textedelespacerserv">
    <w:name w:val="Placeholder Text"/>
    <w:basedOn w:val="Policepardfaut"/>
    <w:uiPriority w:val="99"/>
    <w:semiHidden/>
    <w:rsid w:val="009B6FFB"/>
    <w:rPr>
      <w:color w:val="808080"/>
    </w:rPr>
  </w:style>
  <w:style w:type="paragraph" w:styleId="Sous-titre">
    <w:name w:val="Subtitle"/>
    <w:basedOn w:val="Normal"/>
    <w:next w:val="Normal"/>
    <w:link w:val="Sous-titreCar"/>
    <w:uiPriority w:val="11"/>
    <w:qFormat/>
    <w:rsid w:val="008765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765E9"/>
    <w:rPr>
      <w:rFonts w:asciiTheme="majorHAnsi" w:eastAsiaTheme="majorEastAsia" w:hAnsiTheme="majorHAnsi" w:cstheme="majorBidi"/>
      <w:i/>
      <w:iCs/>
      <w:color w:val="4F81BD" w:themeColor="accent1"/>
      <w:spacing w:val="15"/>
      <w:sz w:val="24"/>
      <w:szCs w:val="24"/>
    </w:rPr>
  </w:style>
  <w:style w:type="table" w:styleId="Tableauliste3">
    <w:name w:val="Table List 3"/>
    <w:aliases w:val="Tableau Marc"/>
    <w:basedOn w:val="TableauNormal"/>
    <w:rsid w:val="00EC5613"/>
    <w:pPr>
      <w:spacing w:after="0" w:line="240" w:lineRule="auto"/>
      <w:jc w:val="both"/>
    </w:pPr>
    <w:rPr>
      <w:rFonts w:ascii="Calibri" w:eastAsia="Times New Roman" w:hAnsi="Calibri" w:cs="Times New Roman"/>
      <w:color w:val="000000"/>
      <w:sz w:val="20"/>
      <w:szCs w:val="20"/>
      <w:lang w:eastAsia="fr-FR"/>
    </w:rPr>
    <w:tblPr>
      <w:tblBorders>
        <w:top w:val="single" w:sz="12" w:space="0" w:color="000000"/>
        <w:bottom w:val="single" w:sz="12" w:space="0" w:color="000000"/>
        <w:insideH w:val="single" w:sz="6" w:space="0" w:color="000000"/>
      </w:tblBorders>
    </w:tblPr>
    <w:tcPr>
      <w:shd w:val="clear" w:color="auto" w:fill="auto"/>
    </w:tcPr>
    <w:tblStylePr w:type="firstRow">
      <w:rPr>
        <w:b w:val="0"/>
        <w:bCs/>
        <w:i/>
        <w:color w:val="auto"/>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rPr>
        <w:b/>
        <w:color w:val="000000"/>
      </w:rPr>
    </w:tblStylePr>
    <w:tblStylePr w:type="lastCol">
      <w:rPr>
        <w:color w:val="auto"/>
      </w:rPr>
    </w:tblStylePr>
    <w:tblStylePr w:type="nwCell">
      <w:rPr>
        <w:b w:val="0"/>
        <w:i/>
      </w:rPr>
    </w:tblStylePr>
    <w:tblStylePr w:type="swCell">
      <w:rPr>
        <w:i/>
        <w:iCs/>
        <w:color w:val="auto"/>
      </w:rPr>
      <w:tblPr/>
      <w:tcPr>
        <w:tcBorders>
          <w:tl2br w:val="none" w:sz="0" w:space="0" w:color="auto"/>
          <w:tr2bl w:val="none" w:sz="0" w:space="0" w:color="auto"/>
        </w:tcBorders>
      </w:tcPr>
    </w:tblStylePr>
  </w:style>
  <w:style w:type="paragraph" w:styleId="Lgende">
    <w:name w:val="caption"/>
    <w:basedOn w:val="Normal"/>
    <w:next w:val="Normal"/>
    <w:unhideWhenUsed/>
    <w:qFormat/>
    <w:rsid w:val="00EC5613"/>
    <w:pPr>
      <w:spacing w:after="0" w:line="240" w:lineRule="auto"/>
      <w:ind w:firstLine="360"/>
    </w:pPr>
    <w:rPr>
      <w:rFonts w:ascii="Calibri" w:eastAsia="Times New Roman" w:hAnsi="Calibri" w:cs="Times New Roman"/>
      <w:b/>
      <w:bCs/>
      <w:sz w:val="18"/>
      <w:szCs w:val="18"/>
      <w:lang w:eastAsia="fr-FR"/>
    </w:rPr>
  </w:style>
  <w:style w:type="character" w:styleId="Lienhypertextesuivivisit">
    <w:name w:val="FollowedHyperlink"/>
    <w:basedOn w:val="Policepardfaut"/>
    <w:uiPriority w:val="99"/>
    <w:semiHidden/>
    <w:unhideWhenUsed/>
    <w:rsid w:val="006279B0"/>
    <w:rPr>
      <w:color w:val="800080" w:themeColor="followedHyperlink"/>
      <w:u w:val="single"/>
    </w:rPr>
  </w:style>
  <w:style w:type="paragraph" w:styleId="En-tte">
    <w:name w:val="header"/>
    <w:basedOn w:val="Normal"/>
    <w:link w:val="En-tteCar"/>
    <w:uiPriority w:val="99"/>
    <w:unhideWhenUsed/>
    <w:rsid w:val="001E6580"/>
    <w:pPr>
      <w:tabs>
        <w:tab w:val="center" w:pos="4536"/>
        <w:tab w:val="right" w:pos="9072"/>
      </w:tabs>
      <w:spacing w:after="0" w:line="240" w:lineRule="auto"/>
    </w:pPr>
  </w:style>
  <w:style w:type="character" w:customStyle="1" w:styleId="En-tteCar">
    <w:name w:val="En-tête Car"/>
    <w:basedOn w:val="Policepardfaut"/>
    <w:link w:val="En-tte"/>
    <w:uiPriority w:val="99"/>
    <w:rsid w:val="001E6580"/>
  </w:style>
  <w:style w:type="paragraph" w:styleId="Pieddepage">
    <w:name w:val="footer"/>
    <w:basedOn w:val="Normal"/>
    <w:link w:val="PieddepageCar"/>
    <w:uiPriority w:val="99"/>
    <w:unhideWhenUsed/>
    <w:rsid w:val="001E65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65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List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822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822EA"/>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C82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822EA"/>
    <w:pPr>
      <w:spacing w:after="0" w:line="240" w:lineRule="auto"/>
    </w:pPr>
  </w:style>
  <w:style w:type="character" w:styleId="Lienhypertexte">
    <w:name w:val="Hyperlink"/>
    <w:basedOn w:val="Policepardfaut"/>
    <w:uiPriority w:val="99"/>
    <w:unhideWhenUsed/>
    <w:rsid w:val="00E42947"/>
    <w:rPr>
      <w:color w:val="0000FF" w:themeColor="hyperlink"/>
      <w:u w:val="single"/>
    </w:rPr>
  </w:style>
  <w:style w:type="paragraph" w:styleId="Citationintense">
    <w:name w:val="Intense Quote"/>
    <w:basedOn w:val="Normal"/>
    <w:next w:val="Normal"/>
    <w:link w:val="CitationintenseCar"/>
    <w:uiPriority w:val="30"/>
    <w:qFormat/>
    <w:rsid w:val="006F09B6"/>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F09B6"/>
    <w:rPr>
      <w:b/>
      <w:bCs/>
      <w:i/>
      <w:iCs/>
      <w:color w:val="4F81BD" w:themeColor="accent1"/>
    </w:rPr>
  </w:style>
  <w:style w:type="paragraph" w:styleId="Paragraphedeliste">
    <w:name w:val="List Paragraph"/>
    <w:basedOn w:val="Normal"/>
    <w:uiPriority w:val="34"/>
    <w:qFormat/>
    <w:rsid w:val="00ED2BF1"/>
    <w:pPr>
      <w:ind w:left="720"/>
      <w:contextualSpacing/>
    </w:pPr>
  </w:style>
  <w:style w:type="paragraph" w:styleId="Textedebulles">
    <w:name w:val="Balloon Text"/>
    <w:basedOn w:val="Normal"/>
    <w:link w:val="TextedebullesCar"/>
    <w:uiPriority w:val="99"/>
    <w:semiHidden/>
    <w:unhideWhenUsed/>
    <w:rsid w:val="00FB5C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5CBC"/>
    <w:rPr>
      <w:rFonts w:ascii="Tahoma" w:hAnsi="Tahoma" w:cs="Tahoma"/>
      <w:sz w:val="16"/>
      <w:szCs w:val="16"/>
    </w:rPr>
  </w:style>
  <w:style w:type="character" w:styleId="Textedelespacerserv">
    <w:name w:val="Placeholder Text"/>
    <w:basedOn w:val="Policepardfaut"/>
    <w:uiPriority w:val="99"/>
    <w:semiHidden/>
    <w:rsid w:val="009B6FFB"/>
    <w:rPr>
      <w:color w:val="808080"/>
    </w:rPr>
  </w:style>
  <w:style w:type="paragraph" w:styleId="Sous-titre">
    <w:name w:val="Subtitle"/>
    <w:basedOn w:val="Normal"/>
    <w:next w:val="Normal"/>
    <w:link w:val="Sous-titreCar"/>
    <w:uiPriority w:val="11"/>
    <w:qFormat/>
    <w:rsid w:val="008765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765E9"/>
    <w:rPr>
      <w:rFonts w:asciiTheme="majorHAnsi" w:eastAsiaTheme="majorEastAsia" w:hAnsiTheme="majorHAnsi" w:cstheme="majorBidi"/>
      <w:i/>
      <w:iCs/>
      <w:color w:val="4F81BD" w:themeColor="accent1"/>
      <w:spacing w:val="15"/>
      <w:sz w:val="24"/>
      <w:szCs w:val="24"/>
    </w:rPr>
  </w:style>
  <w:style w:type="table" w:styleId="Tableauliste3">
    <w:name w:val="Table List 3"/>
    <w:aliases w:val="Tableau Marc"/>
    <w:basedOn w:val="TableauNormal"/>
    <w:rsid w:val="00EC5613"/>
    <w:pPr>
      <w:spacing w:after="0" w:line="240" w:lineRule="auto"/>
      <w:jc w:val="both"/>
    </w:pPr>
    <w:rPr>
      <w:rFonts w:ascii="Calibri" w:eastAsia="Times New Roman" w:hAnsi="Calibri" w:cs="Times New Roman"/>
      <w:color w:val="000000"/>
      <w:sz w:val="20"/>
      <w:szCs w:val="20"/>
      <w:lang w:eastAsia="fr-FR"/>
    </w:rPr>
    <w:tblPr>
      <w:tblBorders>
        <w:top w:val="single" w:sz="12" w:space="0" w:color="000000"/>
        <w:bottom w:val="single" w:sz="12" w:space="0" w:color="000000"/>
        <w:insideH w:val="single" w:sz="6" w:space="0" w:color="000000"/>
      </w:tblBorders>
    </w:tblPr>
    <w:tcPr>
      <w:shd w:val="clear" w:color="auto" w:fill="auto"/>
    </w:tcPr>
    <w:tblStylePr w:type="firstRow">
      <w:rPr>
        <w:b w:val="0"/>
        <w:bCs/>
        <w:i/>
        <w:color w:val="auto"/>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rPr>
        <w:b/>
        <w:color w:val="000000"/>
      </w:rPr>
    </w:tblStylePr>
    <w:tblStylePr w:type="lastCol">
      <w:rPr>
        <w:color w:val="auto"/>
      </w:rPr>
    </w:tblStylePr>
    <w:tblStylePr w:type="nwCell">
      <w:rPr>
        <w:b w:val="0"/>
        <w:i/>
      </w:rPr>
    </w:tblStylePr>
    <w:tblStylePr w:type="swCell">
      <w:rPr>
        <w:i/>
        <w:iCs/>
        <w:color w:val="auto"/>
      </w:rPr>
      <w:tblPr/>
      <w:tcPr>
        <w:tcBorders>
          <w:tl2br w:val="none" w:sz="0" w:space="0" w:color="auto"/>
          <w:tr2bl w:val="none" w:sz="0" w:space="0" w:color="auto"/>
        </w:tcBorders>
      </w:tcPr>
    </w:tblStylePr>
  </w:style>
  <w:style w:type="paragraph" w:styleId="Lgende">
    <w:name w:val="caption"/>
    <w:basedOn w:val="Normal"/>
    <w:next w:val="Normal"/>
    <w:unhideWhenUsed/>
    <w:qFormat/>
    <w:rsid w:val="00EC5613"/>
    <w:pPr>
      <w:spacing w:after="0" w:line="240" w:lineRule="auto"/>
      <w:ind w:firstLine="360"/>
    </w:pPr>
    <w:rPr>
      <w:rFonts w:ascii="Calibri" w:eastAsia="Times New Roman" w:hAnsi="Calibri" w:cs="Times New Roman"/>
      <w:b/>
      <w:bCs/>
      <w:sz w:val="18"/>
      <w:szCs w:val="18"/>
      <w:lang w:eastAsia="fr-FR"/>
    </w:rPr>
  </w:style>
  <w:style w:type="character" w:styleId="Lienhypertextesuivivisit">
    <w:name w:val="FollowedHyperlink"/>
    <w:basedOn w:val="Policepardfaut"/>
    <w:uiPriority w:val="99"/>
    <w:semiHidden/>
    <w:unhideWhenUsed/>
    <w:rsid w:val="006279B0"/>
    <w:rPr>
      <w:color w:val="800080" w:themeColor="followedHyperlink"/>
      <w:u w:val="single"/>
    </w:rPr>
  </w:style>
  <w:style w:type="paragraph" w:styleId="En-tte">
    <w:name w:val="header"/>
    <w:basedOn w:val="Normal"/>
    <w:link w:val="En-tteCar"/>
    <w:uiPriority w:val="99"/>
    <w:unhideWhenUsed/>
    <w:rsid w:val="001E6580"/>
    <w:pPr>
      <w:tabs>
        <w:tab w:val="center" w:pos="4536"/>
        <w:tab w:val="right" w:pos="9072"/>
      </w:tabs>
      <w:spacing w:after="0" w:line="240" w:lineRule="auto"/>
    </w:pPr>
  </w:style>
  <w:style w:type="character" w:customStyle="1" w:styleId="En-tteCar">
    <w:name w:val="En-tête Car"/>
    <w:basedOn w:val="Policepardfaut"/>
    <w:link w:val="En-tte"/>
    <w:uiPriority w:val="99"/>
    <w:rsid w:val="001E6580"/>
  </w:style>
  <w:style w:type="paragraph" w:styleId="Pieddepage">
    <w:name w:val="footer"/>
    <w:basedOn w:val="Normal"/>
    <w:link w:val="PieddepageCar"/>
    <w:uiPriority w:val="99"/>
    <w:unhideWhenUsed/>
    <w:rsid w:val="001E65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6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178594">
      <w:bodyDiv w:val="1"/>
      <w:marLeft w:val="0"/>
      <w:marRight w:val="0"/>
      <w:marTop w:val="0"/>
      <w:marBottom w:val="0"/>
      <w:divBdr>
        <w:top w:val="none" w:sz="0" w:space="0" w:color="auto"/>
        <w:left w:val="none" w:sz="0" w:space="0" w:color="auto"/>
        <w:bottom w:val="none" w:sz="0" w:space="0" w:color="auto"/>
        <w:right w:val="none" w:sz="0" w:space="0" w:color="auto"/>
      </w:divBdr>
      <w:divsChild>
        <w:div w:id="2121679410">
          <w:marLeft w:val="0"/>
          <w:marRight w:val="0"/>
          <w:marTop w:val="100"/>
          <w:marBottom w:val="100"/>
          <w:divBdr>
            <w:top w:val="none" w:sz="0" w:space="0" w:color="auto"/>
            <w:left w:val="none" w:sz="0" w:space="0" w:color="auto"/>
            <w:bottom w:val="none" w:sz="0" w:space="0" w:color="auto"/>
            <w:right w:val="none" w:sz="0" w:space="0" w:color="auto"/>
          </w:divBdr>
          <w:divsChild>
            <w:div w:id="2089225497">
              <w:marLeft w:val="0"/>
              <w:marRight w:val="0"/>
              <w:marTop w:val="0"/>
              <w:marBottom w:val="0"/>
              <w:divBdr>
                <w:top w:val="none" w:sz="0" w:space="0" w:color="auto"/>
                <w:left w:val="none" w:sz="0" w:space="0" w:color="auto"/>
                <w:bottom w:val="none" w:sz="0" w:space="0" w:color="auto"/>
                <w:right w:val="none" w:sz="0" w:space="0" w:color="auto"/>
              </w:divBdr>
              <w:divsChild>
                <w:div w:id="1326401594">
                  <w:marLeft w:val="0"/>
                  <w:marRight w:val="0"/>
                  <w:marTop w:val="0"/>
                  <w:marBottom w:val="0"/>
                  <w:divBdr>
                    <w:top w:val="single" w:sz="6" w:space="15" w:color="EBEBEB"/>
                    <w:left w:val="single" w:sz="6" w:space="15" w:color="EBEBEB"/>
                    <w:bottom w:val="single" w:sz="6" w:space="15" w:color="EBEBEB"/>
                    <w:right w:val="single" w:sz="6" w:space="8" w:color="EBEBEB"/>
                  </w:divBdr>
                </w:div>
              </w:divsChild>
            </w:div>
          </w:divsChild>
        </w:div>
      </w:divsChild>
    </w:div>
    <w:div w:id="562258138">
      <w:bodyDiv w:val="1"/>
      <w:marLeft w:val="0"/>
      <w:marRight w:val="0"/>
      <w:marTop w:val="0"/>
      <w:marBottom w:val="0"/>
      <w:divBdr>
        <w:top w:val="none" w:sz="0" w:space="0" w:color="auto"/>
        <w:left w:val="none" w:sz="0" w:space="0" w:color="auto"/>
        <w:bottom w:val="none" w:sz="0" w:space="0" w:color="auto"/>
        <w:right w:val="none" w:sz="0" w:space="0" w:color="auto"/>
      </w:divBdr>
    </w:div>
    <w:div w:id="614361999">
      <w:bodyDiv w:val="1"/>
      <w:marLeft w:val="0"/>
      <w:marRight w:val="0"/>
      <w:marTop w:val="0"/>
      <w:marBottom w:val="0"/>
      <w:divBdr>
        <w:top w:val="none" w:sz="0" w:space="0" w:color="auto"/>
        <w:left w:val="none" w:sz="0" w:space="0" w:color="auto"/>
        <w:bottom w:val="none" w:sz="0" w:space="0" w:color="auto"/>
        <w:right w:val="none" w:sz="0" w:space="0" w:color="auto"/>
      </w:divBdr>
    </w:div>
    <w:div w:id="170848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1ere-position.fr/blog/meilleures-heures-pour-publier-facebook-twitter-emailing-blog"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upr.fr"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gitlab.com/users/agenis/projects" TargetMode="External"/><Relationship Id="rId2" Type="http://schemas.openxmlformats.org/officeDocument/2006/relationships/numbering" Target="numbering.xml"/><Relationship Id="rId16" Type="http://schemas.openxmlformats.org/officeDocument/2006/relationships/hyperlink" Target="https://www.google.fr/trends/"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en.wikipedia.org/wiki/Metcalfe%27s_law"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9C83199-6950-4B9C-853F-45D60377C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5033</TotalTime>
  <Pages>8</Pages>
  <Words>2688</Words>
  <Characters>14784</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Veolia Recherche et Innovation</Company>
  <LinksUpToDate>false</LinksUpToDate>
  <CharactersWithSpaces>17438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Marc.AGENIS-NEVERS</dc:creator>
  <cp:lastModifiedBy>Marc.AGENIS-NEVERS</cp:lastModifiedBy>
  <cp:revision>266</cp:revision>
  <cp:lastPrinted>2017-02-13T23:11:00Z</cp:lastPrinted>
  <dcterms:created xsi:type="dcterms:W3CDTF">2016-06-28T09:29:00Z</dcterms:created>
  <dcterms:modified xsi:type="dcterms:W3CDTF">2017-02-14T07:36:00Z</dcterms:modified>
</cp:coreProperties>
</file>