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Cahier des spécifications GNU</w:t>
      </w:r>
    </w:p>
    <w:p>
      <w:pPr>
        <w:pStyle w:val="Subtitle"/>
      </w:pPr>
      <w:r>
        <w:t>Gestion des notes universitaires</w:t>
      </w:r>
    </w:p>
    <w:p>
      <w:r>
        <w:t>Version 1.2 avec règles consolidées et bulletin vérifié • 09 septembre 2026</w:t>
      </w:r>
    </w:p>
    <w:p>
      <w:r>
        <w:t>Ce cahier définit le comportement attendu de GNU avant l’implémentation. Il réunit les besoins, les décisions métier confirmées, les droits des utilisateurs et les critères permettant de vérifier l’application. Il s’adresse au porteur du projet et à l’équipe de réalisation.</w:t>
      </w:r>
    </w:p>
    <w:p>
      <w:r>
        <w:t>Cette version constitue la référence fonctionnelle de travail. Elle remplace les formulations contradictoires du dossier de conception 3.0 sur les calculs, le rattrapage, l’admission et les rappels. Elle n’est pas une déclaration de conformité à un règlement universitaire externe ni une recette déjà prononcée.</w:t>
      </w:r>
    </w:p>
    <w:p>
      <w:pPr>
        <w:pStyle w:val="Heading2"/>
      </w:pPr>
      <w:r>
        <w:t>Périmètre de cette livraison</w:t>
      </w:r>
    </w:p>
    <w:p>
      <w:r>
        <w:t>Le travail porte sur les spécifications. Le porteur du projet reproduira et transmettra les tables ultérieurement. Aucun schéma physique, script SQL, migration, backend ou interface n’est implémenté dans cette livraison.</w:t>
      </w:r>
    </w:p>
    <w:p>
      <w:pPr>
        <w:pStyle w:val="Heading2"/>
      </w:pPr>
      <w:r>
        <w:t>Décisions structurantes</w:t>
      </w:r>
    </w:p>
    <w:p>
      <w:r>
        <w:t>Flutter et Dart pour l’application, Laravel et PHP pour l’API, PostgreSQL pour les données. L’enseignant choisit les évaluations et leurs pondérations puis valide les notes. La cellule informatique publie les résultats. Une UE portant la mention EL bloque l’admission, quelle que soit la MGP.</w:t>
      </w:r>
    </w:p>
    <w:p>
      <w:pPr>
        <w:pStyle w:val="Heading2"/>
      </w:pPr>
      <w:r>
        <w:t>Organisation du cahier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496"/>
      </w:tblGrid>
      <w:tr>
        <w:trPr>
          <w:cantSplit/>
          <w:tblHeader/>
        </w:trPr>
        <w:tc>
          <w:tcPr>
            <w:tcW w:type="dxa" w:w="1584"/>
            <w:vAlign w:val="center"/>
            <w:shd w:fill="1B2942"/>
            <w:tcMar>
              <w:top w:w="75" w:type="dxa"/>
              <w:left w:w="75" w:type="dxa"/>
              <w:bottom w:w="75" w:type="dxa"/>
              <w:right w:w="75" w:type="dxa"/>
            </w:tcMar>
          </w:tcPr>
          <w:p>
            <w:pPr>
              <w:spacing w:after="40" w:line="245" w:lineRule="auto"/>
            </w:pPr>
            <w:r>
              <w:rPr>
                <w:b/>
                <w:color w:val="FFFFFF"/>
                <w:sz w:val="19"/>
              </w:rPr>
              <w:t>Parties</w:t>
            </w:r>
          </w:p>
        </w:tc>
        <w:tc>
          <w:tcPr>
            <w:tcW w:type="dxa" w:w="8496"/>
            <w:vAlign w:val="center"/>
            <w:shd w:fill="1B2942"/>
            <w:tcMar>
              <w:top w:w="75" w:type="dxa"/>
              <w:left w:w="75" w:type="dxa"/>
              <w:bottom w:w="75" w:type="dxa"/>
              <w:right w:w="75" w:type="dxa"/>
            </w:tcMar>
          </w:tcPr>
          <w:p>
            <w:pPr>
              <w:spacing w:after="40" w:line="245" w:lineRule="auto"/>
            </w:pPr>
            <w:r>
              <w:rPr>
                <w:b/>
                <w:color w:val="FFFFFF"/>
                <w:sz w:val="19"/>
              </w:rPr>
              <w:t>Contenu</w:t>
            </w:r>
          </w:p>
        </w:tc>
      </w:tr>
      <w:tr>
        <w:trPr>
          <w:cantSplit/>
        </w:trPr>
        <w:tc>
          <w:tcPr>
            <w:tcW w:type="dxa" w:w="1584"/>
            <w:vAlign w:val="center"/>
            <w:shd w:fill="FFFFFF"/>
            <w:tcMar>
              <w:top w:w="75" w:type="dxa"/>
              <w:left w:w="75" w:type="dxa"/>
              <w:bottom w:w="75" w:type="dxa"/>
              <w:right w:w="75" w:type="dxa"/>
            </w:tcMar>
          </w:tcPr>
          <w:p>
            <w:pPr>
              <w:spacing w:after="40" w:line="245" w:lineRule="auto"/>
            </w:pPr>
            <w:r>
              <w:rPr>
                <w:sz w:val="19"/>
              </w:rPr>
              <w:t>1 à 3</w:t>
            </w:r>
          </w:p>
        </w:tc>
        <w:tc>
          <w:tcPr>
            <w:tcW w:type="dxa" w:w="8496"/>
            <w:vAlign w:val="center"/>
            <w:shd w:fill="FFFFFF"/>
            <w:tcMar>
              <w:top w:w="75" w:type="dxa"/>
              <w:left w:w="75" w:type="dxa"/>
              <w:bottom w:w="75" w:type="dxa"/>
              <w:right w:w="75" w:type="dxa"/>
            </w:tcMar>
          </w:tcPr>
          <w:p>
            <w:pPr>
              <w:spacing w:after="40" w:line="245" w:lineRule="auto"/>
            </w:pPr>
            <w:r>
              <w:rPr>
                <w:sz w:val="19"/>
              </w:rPr>
              <w:t>Périmètre, acteurs, données académiques</w:t>
            </w:r>
          </w:p>
        </w:tc>
      </w:tr>
      <w:tr>
        <w:trPr>
          <w:cantSplit/>
        </w:trPr>
        <w:tc>
          <w:tcPr>
            <w:tcW w:type="dxa" w:w="1584"/>
            <w:vAlign w:val="center"/>
            <w:shd w:fill="F1F3F6"/>
            <w:tcMar>
              <w:top w:w="75" w:type="dxa"/>
              <w:left w:w="75" w:type="dxa"/>
              <w:bottom w:w="75" w:type="dxa"/>
              <w:right w:w="75" w:type="dxa"/>
            </w:tcMar>
          </w:tcPr>
          <w:p>
            <w:pPr>
              <w:spacing w:after="40" w:line="245" w:lineRule="auto"/>
            </w:pPr>
            <w:r>
              <w:rPr>
                <w:sz w:val="19"/>
              </w:rPr>
              <w:t>4 à 6</w:t>
            </w:r>
          </w:p>
        </w:tc>
        <w:tc>
          <w:tcPr>
            <w:tcW w:type="dxa" w:w="8496"/>
            <w:vAlign w:val="center"/>
            <w:shd w:fill="F1F3F6"/>
            <w:tcMar>
              <w:top w:w="75" w:type="dxa"/>
              <w:left w:w="75" w:type="dxa"/>
              <w:bottom w:w="75" w:type="dxa"/>
              <w:right w:w="75" w:type="dxa"/>
            </w:tcMar>
          </w:tcPr>
          <w:p>
            <w:pPr>
              <w:spacing w:after="40" w:line="245" w:lineRule="auto"/>
            </w:pPr>
            <w:r>
              <w:rPr>
                <w:sz w:val="19"/>
              </w:rPr>
              <w:t>Évaluations, calculs, grades et admission</w:t>
            </w:r>
          </w:p>
        </w:tc>
      </w:tr>
      <w:tr>
        <w:trPr>
          <w:cantSplit/>
        </w:trPr>
        <w:tc>
          <w:tcPr>
            <w:tcW w:type="dxa" w:w="1584"/>
            <w:vAlign w:val="center"/>
            <w:shd w:fill="FFFFFF"/>
            <w:tcMar>
              <w:top w:w="75" w:type="dxa"/>
              <w:left w:w="75" w:type="dxa"/>
              <w:bottom w:w="75" w:type="dxa"/>
              <w:right w:w="75" w:type="dxa"/>
            </w:tcMar>
          </w:tcPr>
          <w:p>
            <w:pPr>
              <w:spacing w:after="40" w:line="245" w:lineRule="auto"/>
            </w:pPr>
            <w:r>
              <w:rPr>
                <w:sz w:val="19"/>
              </w:rPr>
              <w:t>7 à 9</w:t>
            </w:r>
          </w:p>
        </w:tc>
        <w:tc>
          <w:tcPr>
            <w:tcW w:type="dxa" w:w="8496"/>
            <w:vAlign w:val="center"/>
            <w:shd w:fill="FFFFFF"/>
            <w:tcMar>
              <w:top w:w="75" w:type="dxa"/>
              <w:left w:w="75" w:type="dxa"/>
              <w:bottom w:w="75" w:type="dxa"/>
              <w:right w:w="75" w:type="dxa"/>
            </w:tcMar>
          </w:tcPr>
          <w:p>
            <w:pPr>
              <w:spacing w:after="40" w:line="245" w:lineRule="auto"/>
            </w:pPr>
            <w:r>
              <w:rPr>
                <w:sz w:val="19"/>
              </w:rPr>
              <w:t>Requêtes, publication, rappels et interfaces</w:t>
            </w:r>
          </w:p>
        </w:tc>
      </w:tr>
      <w:tr>
        <w:trPr>
          <w:cantSplit/>
        </w:trPr>
        <w:tc>
          <w:tcPr>
            <w:tcW w:type="dxa" w:w="1584"/>
            <w:vAlign w:val="center"/>
            <w:shd w:fill="F1F3F6"/>
            <w:tcMar>
              <w:top w:w="75" w:type="dxa"/>
              <w:left w:w="75" w:type="dxa"/>
              <w:bottom w:w="75" w:type="dxa"/>
              <w:right w:w="75" w:type="dxa"/>
            </w:tcMar>
          </w:tcPr>
          <w:p>
            <w:pPr>
              <w:spacing w:after="40" w:line="245" w:lineRule="auto"/>
            </w:pPr>
            <w:r>
              <w:rPr>
                <w:sz w:val="19"/>
              </w:rPr>
              <w:t>10 et 11</w:t>
            </w:r>
          </w:p>
        </w:tc>
        <w:tc>
          <w:tcPr>
            <w:tcW w:type="dxa" w:w="8496"/>
            <w:vAlign w:val="center"/>
            <w:shd w:fill="F1F3F6"/>
            <w:tcMar>
              <w:top w:w="75" w:type="dxa"/>
              <w:left w:w="75" w:type="dxa"/>
              <w:bottom w:w="75" w:type="dxa"/>
              <w:right w:w="75" w:type="dxa"/>
            </w:tcMar>
          </w:tcPr>
          <w:p>
            <w:pPr>
              <w:spacing w:after="40" w:line="245" w:lineRule="auto"/>
            </w:pPr>
            <w:r>
              <w:rPr>
                <w:sz w:val="19"/>
              </w:rPr>
              <w:t>Qualité, sécurité et critères de recette</w:t>
            </w:r>
          </w:p>
        </w:tc>
      </w:tr>
      <w:tr>
        <w:trPr>
          <w:cantSplit/>
        </w:trPr>
        <w:tc>
          <w:tcPr>
            <w:tcW w:type="dxa" w:w="1584"/>
            <w:vAlign w:val="center"/>
            <w:shd w:fill="FFFFFF"/>
            <w:tcMar>
              <w:top w:w="75" w:type="dxa"/>
              <w:left w:w="75" w:type="dxa"/>
              <w:bottom w:w="75" w:type="dxa"/>
              <w:right w:w="75" w:type="dxa"/>
            </w:tcMar>
          </w:tcPr>
          <w:p>
            <w:r>
              <w:t>12 à 14</w:t>
            </w:r>
          </w:p>
        </w:tc>
        <w:tc>
          <w:tcPr>
            <w:tcW w:type="dxa" w:w="8496"/>
            <w:vAlign w:val="center"/>
            <w:shd w:fill="FFFFFF"/>
            <w:tcMar>
              <w:top w:w="75" w:type="dxa"/>
              <w:left w:w="75" w:type="dxa"/>
              <w:bottom w:w="75" w:type="dxa"/>
              <w:right w:w="75" w:type="dxa"/>
            </w:tcMar>
          </w:tcPr>
          <w:p>
            <w:r>
              <w:t>Arbitrages, modèle simplifié et préparation des tables</w:t>
            </w:r>
          </w:p>
        </w:tc>
      </w:tr>
      <w:tr>
        <w:tc>
          <w:tcPr>
            <w:tcW w:type="dxa" w:w="1584"/>
          </w:tcPr>
          <w:p>
            <w:r>
              <w:t>15 et 16</w:t>
            </w:r>
          </w:p>
        </w:tc>
        <w:tc>
          <w:tcPr>
            <w:tcW w:type="dxa" w:w="8496"/>
          </w:tcPr>
          <w:p>
            <w:r>
              <w:t>Décisions récentes et bulletin de vérification</w:t>
            </w:r>
          </w:p>
        </w:tc>
      </w:tr>
    </w:tbl>
    <w:p>
      <w:r>
        <w:t>Statuts de lecture : les décisions métier confirmées sont obligatoires. Les choix signalés « proposition de réalisation » restent révisables. Les points AR sont explicitement non résolus et ne doivent pas devenir des règles implicites.</w:t>
      </w:r>
    </w:p>
    <w:p>
      <w:pPr>
        <w:pStyle w:val="Heading1"/>
        <w:pageBreakBefore/>
      </w:pPr>
      <w:r>
        <w:t>1 Objectifs et périmètre</w:t>
      </w:r>
    </w:p>
    <w:p>
      <w:pPr>
        <w:pStyle w:val="Heading2"/>
      </w:pPr>
      <w:r>
        <w:t>Objectif du produit</w:t>
      </w:r>
    </w:p>
    <w:p>
      <w:r>
        <w:t>GNU centralise les inscriptions, les évaluations et les résultats pour réduire les erreurs de notes et rendre leur traitement traçable. Un étudiant doit pouvoir comprendre son résultat, consulter son bulletin publié et déposer une requête. Un enseignant doit pouvoir suivre ses classes, saisir et valider les notes, puis traiter les demandes qui le concernent.</w:t>
      </w:r>
    </w:p>
    <w:p>
      <w:pPr>
        <w:pStyle w:val="Heading2"/>
      </w:pPr>
      <w:r>
        <w:t>Fonctionnalités du premier périmètre</w:t>
      </w:r>
    </w:p>
    <w:p>
      <w:pPr>
        <w:pStyle w:val="ListBullet"/>
      </w:pPr>
      <w:r>
        <w:t>Comptes et connexion des étudiants, enseignants et agents; contrôle des accès selon le rôle et le périmètre académique.</w:t>
      </w:r>
    </w:p>
    <w:p>
      <w:pPr>
        <w:pStyle w:val="ListBullet"/>
      </w:pPr>
      <w:r>
        <w:t>Gestion de la structure universitaire, des années, classes, programmes, UE, matières et affectations.</w:t>
      </w:r>
    </w:p>
    <w:p>
      <w:pPr>
        <w:pStyle w:val="ListBullet"/>
      </w:pPr>
      <w:r>
        <w:t>Choix et validation des inscriptions, y compris les UE à reprendre.</w:t>
      </w:r>
    </w:p>
    <w:p>
      <w:pPr>
        <w:pStyle w:val="ListBullet"/>
      </w:pPr>
      <w:r>
        <w:t>Plans d’évaluation communs, sélection des notes, pondérations, saisie, vérification et validation.</w:t>
      </w:r>
    </w:p>
    <w:p>
      <w:pPr>
        <w:pStyle w:val="ListBullet"/>
      </w:pPr>
      <w:r>
        <w:t>Calcul des résultats, grades, MGP, décision d’admission et bulletins semestriels ou annuels.</w:t>
      </w:r>
    </w:p>
    <w:p>
      <w:pPr>
        <w:pStyle w:val="ListBullet"/>
      </w:pPr>
      <w:r>
        <w:t>Publication, liste de rattrapage, requêtes avec preuves, décisions et remplacement des notes autorisé.</w:t>
      </w:r>
    </w:p>
    <w:p>
      <w:pPr>
        <w:pStyle w:val="ListBullet"/>
      </w:pPr>
      <w:r>
        <w:t>Notifications internes, rappels ouvrables et historique des opérations.</w:t>
      </w:r>
    </w:p>
    <w:p>
      <w:pPr>
        <w:pStyle w:val="Heading2"/>
      </w:pPr>
      <w:r>
        <w:t>Éléments différés</w:t>
      </w:r>
    </w:p>
    <w:p>
      <w:r>
        <w:t>La messagerie SMS et e-mail, les paiements, les emplois du temps, les locaux physiques et une intégration au système de scolarité externe ne font pas partie du premier périmètre. Une importation de notes ou de programmes est une facilité à concevoir après réception des formats réels; aucun traitement OCR n’est promis.</w:t>
      </w:r>
    </w:p>
    <w:p>
      <w:pPr>
        <w:pStyle w:val="Heading2"/>
      </w:pPr>
      <w:r>
        <w:t>Références et ordre de priorité</w:t>
      </w:r>
    </w:p>
    <w:p>
      <w:r>
        <w:t>Les décisions explicites du porteur du projet dans les échanges priment sur les hypothèses antérieures. Les sources de travail sont le recueil des besoins, le programme de Licence fourni, le PV fourni, la grille de grades et le texte LMD transmis, le dossier de conception 3.0 et les diagrammes UML complets corrigés. Le programme et le PV ne sont pas supposés applicables à toutes les filières sans vérification.</w:t>
      </w:r>
    </w:p>
    <w:p>
      <w:r>
        <w:t>Livrables UML associés : GNU_Diagrammes_UML.pdf, GNU_Diagrammes.drawio et GNU_Sources_PlantUML.zip. Le modèle simplifié à 29 classes et 53 associations est une base logique à confronter aux tables futures, avant de fixer le nombre final de tables.</w:t>
      </w:r>
    </w:p>
    <w:p>
      <w:pPr>
        <w:pStyle w:val="Heading1"/>
        <w:pageBreakBefore/>
      </w:pPr>
      <w:r>
        <w:t>2 Acteurs et autorisations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1944"/>
        <w:gridCol w:w="2232"/>
        <w:gridCol w:w="2232"/>
      </w:tblGrid>
      <w:tr>
        <w:trPr>
          <w:cantSplit/>
          <w:tblHeader/>
        </w:trPr>
        <w:tc>
          <w:tcPr>
            <w:tcW w:type="dxa" w:w="3672"/>
            <w:vAlign w:val="center"/>
            <w:shd w:fill="1B2942"/>
            <w:tcMar>
              <w:top w:w="75" w:type="dxa"/>
              <w:left w:w="75" w:type="dxa"/>
              <w:bottom w:w="75" w:type="dxa"/>
              <w:right w:w="75" w:type="dxa"/>
            </w:tcMar>
          </w:tcPr>
          <w:p>
            <w:pPr>
              <w:spacing w:after="40" w:line="245" w:lineRule="auto"/>
            </w:pPr>
            <w:r>
              <w:rPr>
                <w:b/>
                <w:color w:val="FFFFFF"/>
                <w:sz w:val="19"/>
              </w:rPr>
              <w:t>Action</w:t>
            </w:r>
          </w:p>
        </w:tc>
        <w:tc>
          <w:tcPr>
            <w:tcW w:type="dxa" w:w="1944"/>
            <w:vAlign w:val="center"/>
            <w:shd w:fill="1B2942"/>
            <w:tcMar>
              <w:top w:w="75" w:type="dxa"/>
              <w:left w:w="75" w:type="dxa"/>
              <w:bottom w:w="75" w:type="dxa"/>
              <w:right w:w="75" w:type="dxa"/>
            </w:tcMar>
          </w:tcPr>
          <w:p>
            <w:pPr>
              <w:spacing w:after="40" w:line="245" w:lineRule="auto"/>
            </w:pPr>
            <w:r>
              <w:rPr>
                <w:b/>
                <w:color w:val="FFFFFF"/>
                <w:sz w:val="19"/>
              </w:rPr>
              <w:t>Étudiant</w:t>
            </w:r>
          </w:p>
        </w:tc>
        <w:tc>
          <w:tcPr>
            <w:tcW w:type="dxa" w:w="2232"/>
            <w:vAlign w:val="center"/>
            <w:shd w:fill="1B2942"/>
            <w:tcMar>
              <w:top w:w="75" w:type="dxa"/>
              <w:left w:w="75" w:type="dxa"/>
              <w:bottom w:w="75" w:type="dxa"/>
              <w:right w:w="75" w:type="dxa"/>
            </w:tcMar>
          </w:tcPr>
          <w:p>
            <w:pPr>
              <w:spacing w:after="40" w:line="245" w:lineRule="auto"/>
            </w:pPr>
            <w:r>
              <w:rPr>
                <w:b/>
                <w:color w:val="FFFFFF"/>
                <w:sz w:val="19"/>
              </w:rPr>
              <w:t>Enseignant</w:t>
            </w:r>
          </w:p>
        </w:tc>
        <w:tc>
          <w:tcPr>
            <w:tcW w:type="dxa" w:w="2232"/>
            <w:vAlign w:val="center"/>
            <w:shd w:fill="1B2942"/>
            <w:tcMar>
              <w:top w:w="75" w:type="dxa"/>
              <w:left w:w="75" w:type="dxa"/>
              <w:bottom w:w="75" w:type="dxa"/>
              <w:right w:w="75" w:type="dxa"/>
            </w:tcMar>
          </w:tcPr>
          <w:p>
            <w:pPr>
              <w:spacing w:after="40" w:line="245" w:lineRule="auto"/>
            </w:pPr>
            <w:r>
              <w:rPr>
                <w:b/>
                <w:color w:val="FFFFFF"/>
                <w:sz w:val="19"/>
              </w:rPr>
              <w:t>Agent</w:t>
            </w:r>
          </w:p>
        </w:tc>
      </w:tr>
      <w:tr>
        <w:trPr>
          <w:cantSplit/>
        </w:trPr>
        <w:tc>
          <w:tcPr>
            <w:tcW w:type="dxa" w:w="3672"/>
            <w:vAlign w:val="center"/>
            <w:shd w:fill="FFFFFF"/>
            <w:tcMar>
              <w:top w:w="75" w:type="dxa"/>
              <w:left w:w="75" w:type="dxa"/>
              <w:bottom w:w="75" w:type="dxa"/>
              <w:right w:w="75" w:type="dxa"/>
            </w:tcMar>
          </w:tcPr>
          <w:p>
            <w:pPr>
              <w:spacing w:after="40" w:line="245" w:lineRule="auto"/>
            </w:pPr>
            <w:r>
              <w:rPr>
                <w:sz w:val="19"/>
              </w:rPr>
              <w:t>Consulter résultats publiés</w:t>
            </w:r>
          </w:p>
        </w:tc>
        <w:tc>
          <w:tcPr>
            <w:tcW w:type="dxa" w:w="1944"/>
            <w:vAlign w:val="center"/>
            <w:shd w:fill="FFFFFF"/>
            <w:tcMar>
              <w:top w:w="75" w:type="dxa"/>
              <w:left w:w="75" w:type="dxa"/>
              <w:bottom w:w="75" w:type="dxa"/>
              <w:right w:w="75" w:type="dxa"/>
            </w:tcMar>
          </w:tcPr>
          <w:p>
            <w:pPr>
              <w:spacing w:after="40" w:line="245" w:lineRule="auto"/>
            </w:pPr>
            <w:r>
              <w:rPr>
                <w:sz w:val="19"/>
              </w:rPr>
              <w:t>Les siens</w:t>
            </w:r>
          </w:p>
        </w:tc>
        <w:tc>
          <w:tcPr>
            <w:tcW w:type="dxa" w:w="2232"/>
            <w:vAlign w:val="center"/>
            <w:shd w:fill="FFFFFF"/>
            <w:tcMar>
              <w:top w:w="75" w:type="dxa"/>
              <w:left w:w="75" w:type="dxa"/>
              <w:bottom w:w="75" w:type="dxa"/>
              <w:right w:w="75" w:type="dxa"/>
            </w:tcMar>
          </w:tcPr>
          <w:p>
            <w:pPr>
              <w:spacing w:after="40" w:line="245" w:lineRule="auto"/>
            </w:pPr>
            <w:r>
              <w:rPr>
                <w:sz w:val="19"/>
              </w:rPr>
              <w:t>Son périmètre</w:t>
            </w:r>
          </w:p>
        </w:tc>
        <w:tc>
          <w:tcPr>
            <w:tcW w:type="dxa" w:w="2232"/>
            <w:vAlign w:val="center"/>
            <w:shd w:fill="FFFFFF"/>
            <w:tcMar>
              <w:top w:w="75" w:type="dxa"/>
              <w:left w:w="75" w:type="dxa"/>
              <w:bottom w:w="75" w:type="dxa"/>
              <w:right w:w="75" w:type="dxa"/>
            </w:tcMar>
          </w:tcPr>
          <w:p>
            <w:pPr>
              <w:spacing w:after="40" w:line="245" w:lineRule="auto"/>
            </w:pPr>
            <w:r>
              <w:rPr>
                <w:sz w:val="19"/>
              </w:rPr>
              <w:t>Son périmètre</w:t>
            </w:r>
          </w:p>
        </w:tc>
      </w:tr>
      <w:tr>
        <w:trPr>
          <w:cantSplit/>
        </w:trPr>
        <w:tc>
          <w:tcPr>
            <w:tcW w:type="dxa" w:w="3672"/>
            <w:vAlign w:val="center"/>
            <w:shd w:fill="F1F3F6"/>
            <w:tcMar>
              <w:top w:w="75" w:type="dxa"/>
              <w:left w:w="75" w:type="dxa"/>
              <w:bottom w:w="75" w:type="dxa"/>
              <w:right w:w="75" w:type="dxa"/>
            </w:tcMar>
          </w:tcPr>
          <w:p>
            <w:pPr>
              <w:spacing w:after="40" w:line="245" w:lineRule="auto"/>
            </w:pPr>
            <w:r>
              <w:rPr>
                <w:sz w:val="19"/>
              </w:rPr>
              <w:t>Déposer une requête</w:t>
            </w:r>
          </w:p>
        </w:tc>
        <w:tc>
          <w:tcPr>
            <w:tcW w:type="dxa" w:w="1944"/>
            <w:vAlign w:val="center"/>
            <w:shd w:fill="F1F3F6"/>
            <w:tcMar>
              <w:top w:w="75" w:type="dxa"/>
              <w:left w:w="75" w:type="dxa"/>
              <w:bottom w:w="75" w:type="dxa"/>
              <w:right w:w="75" w:type="dxa"/>
            </w:tcMar>
          </w:tcPr>
          <w:p>
            <w:pPr>
              <w:spacing w:after="40" w:line="245" w:lineRule="auto"/>
            </w:pPr>
            <w:r>
              <w:rPr>
                <w:sz w:val="19"/>
              </w:rPr>
              <w:t>Pour lui-même</w:t>
            </w:r>
          </w:p>
        </w:tc>
        <w:tc>
          <w:tcPr>
            <w:tcW w:type="dxa" w:w="2232"/>
            <w:vAlign w:val="center"/>
            <w:shd w:fill="F1F3F6"/>
            <w:tcMar>
              <w:top w:w="75" w:type="dxa"/>
              <w:left w:w="75" w:type="dxa"/>
              <w:bottom w:w="75" w:type="dxa"/>
              <w:right w:w="75" w:type="dxa"/>
            </w:tcMar>
          </w:tcPr>
          <w:p>
            <w:pPr>
              <w:spacing w:after="40" w:line="245" w:lineRule="auto"/>
            </w:pPr>
            <w:r>
              <w:rPr>
                <w:sz w:val="19"/>
              </w:rPr>
              <w:t>Non</w:t>
            </w:r>
          </w:p>
        </w:tc>
        <w:tc>
          <w:tcPr>
            <w:tcW w:type="dxa" w:w="2232"/>
            <w:vAlign w:val="center"/>
            <w:shd w:fill="F1F3F6"/>
            <w:tcMar>
              <w:top w:w="75" w:type="dxa"/>
              <w:left w:w="75" w:type="dxa"/>
              <w:bottom w:w="75" w:type="dxa"/>
              <w:right w:w="75" w:type="dxa"/>
            </w:tcMar>
          </w:tcPr>
          <w:p>
            <w:pPr>
              <w:spacing w:after="40" w:line="245" w:lineRule="auto"/>
            </w:pPr>
            <w:r>
              <w:rPr>
                <w:sz w:val="19"/>
              </w:rPr>
              <w:t>Non</w:t>
            </w:r>
          </w:p>
        </w:tc>
      </w:tr>
      <w:tr>
        <w:trPr>
          <w:cantSplit/>
        </w:trPr>
        <w:tc>
          <w:tcPr>
            <w:tcW w:type="dxa" w:w="3672"/>
            <w:vAlign w:val="center"/>
            <w:shd w:fill="FFFFFF"/>
            <w:tcMar>
              <w:top w:w="75" w:type="dxa"/>
              <w:left w:w="75" w:type="dxa"/>
              <w:bottom w:w="75" w:type="dxa"/>
              <w:right w:w="75" w:type="dxa"/>
            </w:tcMar>
          </w:tcPr>
          <w:p>
            <w:pPr>
              <w:spacing w:after="40" w:line="245" w:lineRule="auto"/>
            </w:pPr>
            <w:r>
              <w:rPr>
                <w:sz w:val="19"/>
              </w:rPr>
              <w:t>Configurer sélection et poids</w:t>
            </w:r>
          </w:p>
        </w:tc>
        <w:tc>
          <w:tcPr>
            <w:tcW w:type="dxa" w:w="1944"/>
            <w:vAlign w:val="center"/>
            <w:shd w:fill="FFFFFF"/>
            <w:tcMar>
              <w:top w:w="75" w:type="dxa"/>
              <w:left w:w="75" w:type="dxa"/>
              <w:bottom w:w="75" w:type="dxa"/>
              <w:right w:w="75" w:type="dxa"/>
            </w:tcMar>
          </w:tcPr>
          <w:p>
            <w:pPr>
              <w:spacing w:after="40" w:line="245" w:lineRule="auto"/>
            </w:pPr>
            <w:r>
              <w:rPr>
                <w:sz w:val="19"/>
              </w:rPr>
              <w:t>Non</w:t>
            </w:r>
          </w:p>
        </w:tc>
        <w:tc>
          <w:tcPr>
            <w:tcW w:type="dxa" w:w="2232"/>
            <w:vAlign w:val="center"/>
            <w:shd w:fill="FFFFFF"/>
            <w:tcMar>
              <w:top w:w="75" w:type="dxa"/>
              <w:left w:w="75" w:type="dxa"/>
              <w:bottom w:w="75" w:type="dxa"/>
              <w:right w:w="75" w:type="dxa"/>
            </w:tcMar>
          </w:tcPr>
          <w:p>
            <w:pPr>
              <w:spacing w:after="40" w:line="245" w:lineRule="auto"/>
            </w:pPr>
            <w:r>
              <w:rPr>
                <w:sz w:val="19"/>
              </w:rPr>
              <w:t>Ses affectations</w:t>
            </w:r>
          </w:p>
        </w:tc>
        <w:tc>
          <w:tcPr>
            <w:tcW w:type="dxa" w:w="2232"/>
            <w:vAlign w:val="center"/>
            <w:shd w:fill="FFFFFF"/>
            <w:tcMar>
              <w:top w:w="75" w:type="dxa"/>
              <w:left w:w="75" w:type="dxa"/>
              <w:bottom w:w="75" w:type="dxa"/>
              <w:right w:w="75" w:type="dxa"/>
            </w:tcMar>
          </w:tcPr>
          <w:p>
            <w:pPr>
              <w:spacing w:after="40" w:line="245" w:lineRule="auto"/>
            </w:pPr>
            <w:r>
              <w:rPr>
                <w:sz w:val="19"/>
              </w:rPr>
              <w:t>Non</w:t>
            </w:r>
          </w:p>
        </w:tc>
      </w:tr>
      <w:tr>
        <w:trPr>
          <w:cantSplit/>
        </w:trPr>
        <w:tc>
          <w:tcPr>
            <w:tcW w:type="dxa" w:w="3672"/>
            <w:vAlign w:val="center"/>
            <w:shd w:fill="F1F3F6"/>
            <w:tcMar>
              <w:top w:w="75" w:type="dxa"/>
              <w:left w:w="75" w:type="dxa"/>
              <w:bottom w:w="75" w:type="dxa"/>
              <w:right w:w="75" w:type="dxa"/>
            </w:tcMar>
          </w:tcPr>
          <w:p>
            <w:pPr>
              <w:spacing w:after="40" w:line="245" w:lineRule="auto"/>
            </w:pPr>
            <w:r>
              <w:rPr>
                <w:sz w:val="19"/>
              </w:rPr>
              <w:t>Saisir et valider les notes</w:t>
            </w:r>
          </w:p>
        </w:tc>
        <w:tc>
          <w:tcPr>
            <w:tcW w:type="dxa" w:w="1944"/>
            <w:vAlign w:val="center"/>
            <w:shd w:fill="F1F3F6"/>
            <w:tcMar>
              <w:top w:w="75" w:type="dxa"/>
              <w:left w:w="75" w:type="dxa"/>
              <w:bottom w:w="75" w:type="dxa"/>
              <w:right w:w="75" w:type="dxa"/>
            </w:tcMar>
          </w:tcPr>
          <w:p>
            <w:pPr>
              <w:spacing w:after="40" w:line="245" w:lineRule="auto"/>
            </w:pPr>
            <w:r>
              <w:rPr>
                <w:sz w:val="19"/>
              </w:rPr>
              <w:t>Non</w:t>
            </w:r>
          </w:p>
        </w:tc>
        <w:tc>
          <w:tcPr>
            <w:tcW w:type="dxa" w:w="2232"/>
            <w:vAlign w:val="center"/>
            <w:shd w:fill="F1F3F6"/>
            <w:tcMar>
              <w:top w:w="75" w:type="dxa"/>
              <w:left w:w="75" w:type="dxa"/>
              <w:bottom w:w="75" w:type="dxa"/>
              <w:right w:w="75" w:type="dxa"/>
            </w:tcMar>
          </w:tcPr>
          <w:p>
            <w:pPr>
              <w:spacing w:after="40" w:line="245" w:lineRule="auto"/>
            </w:pPr>
            <w:r>
              <w:rPr>
                <w:sz w:val="19"/>
              </w:rPr>
              <w:t>Ses affectations</w:t>
            </w:r>
          </w:p>
        </w:tc>
        <w:tc>
          <w:tcPr>
            <w:tcW w:type="dxa" w:w="2232"/>
            <w:vAlign w:val="center"/>
            <w:shd w:fill="F1F3F6"/>
            <w:tcMar>
              <w:top w:w="75" w:type="dxa"/>
              <w:left w:w="75" w:type="dxa"/>
              <w:bottom w:w="75" w:type="dxa"/>
              <w:right w:w="75" w:type="dxa"/>
            </w:tcMar>
          </w:tcPr>
          <w:p>
            <w:pPr>
              <w:spacing w:after="40" w:line="245" w:lineRule="auto"/>
            </w:pPr>
            <w:r>
              <w:rPr>
                <w:sz w:val="19"/>
              </w:rPr>
              <w:t>Pas de validation</w:t>
            </w:r>
          </w:p>
        </w:tc>
      </w:tr>
      <w:tr>
        <w:trPr>
          <w:cantSplit/>
        </w:trPr>
        <w:tc>
          <w:tcPr>
            <w:tcW w:type="dxa" w:w="3672"/>
            <w:vAlign w:val="center"/>
            <w:shd w:fill="FFFFFF"/>
            <w:tcMar>
              <w:top w:w="75" w:type="dxa"/>
              <w:left w:w="75" w:type="dxa"/>
              <w:bottom w:w="75" w:type="dxa"/>
              <w:right w:w="75" w:type="dxa"/>
            </w:tcMar>
          </w:tcPr>
          <w:p>
            <w:pPr>
              <w:spacing w:after="40" w:line="245" w:lineRule="auto"/>
            </w:pPr>
            <w:r>
              <w:rPr>
                <w:sz w:val="19"/>
              </w:rPr>
              <w:t>Traiter une requête</w:t>
            </w:r>
          </w:p>
        </w:tc>
        <w:tc>
          <w:tcPr>
            <w:tcW w:type="dxa" w:w="1944"/>
            <w:vAlign w:val="center"/>
            <w:shd w:fill="FFFFFF"/>
            <w:tcMar>
              <w:top w:w="75" w:type="dxa"/>
              <w:left w:w="75" w:type="dxa"/>
              <w:bottom w:w="75" w:type="dxa"/>
              <w:right w:w="75" w:type="dxa"/>
            </w:tcMar>
          </w:tcPr>
          <w:p>
            <w:pPr>
              <w:spacing w:after="40" w:line="245" w:lineRule="auto"/>
            </w:pPr>
            <w:r>
              <w:rPr>
                <w:sz w:val="19"/>
              </w:rPr>
              <w:t>Non</w:t>
            </w:r>
          </w:p>
        </w:tc>
        <w:tc>
          <w:tcPr>
            <w:tcW w:type="dxa" w:w="2232"/>
            <w:vAlign w:val="center"/>
            <w:shd w:fill="FFFFFF"/>
            <w:tcMar>
              <w:top w:w="75" w:type="dxa"/>
              <w:left w:w="75" w:type="dxa"/>
              <w:bottom w:w="75" w:type="dxa"/>
              <w:right w:w="75" w:type="dxa"/>
            </w:tcMar>
          </w:tcPr>
          <w:p>
            <w:pPr>
              <w:spacing w:after="40" w:line="245" w:lineRule="auto"/>
            </w:pPr>
            <w:r>
              <w:rPr>
                <w:sz w:val="19"/>
              </w:rPr>
              <w:t>Matière concernée</w:t>
            </w:r>
          </w:p>
        </w:tc>
        <w:tc>
          <w:tcPr>
            <w:tcW w:type="dxa" w:w="2232"/>
            <w:vAlign w:val="center"/>
            <w:shd w:fill="FFFFFF"/>
            <w:tcMar>
              <w:top w:w="75" w:type="dxa"/>
              <w:left w:w="75" w:type="dxa"/>
              <w:bottom w:w="75" w:type="dxa"/>
              <w:right w:w="75" w:type="dxa"/>
            </w:tcMar>
          </w:tcPr>
          <w:p>
            <w:pPr>
              <w:spacing w:after="40" w:line="245" w:lineRule="auto"/>
            </w:pPr>
            <w:r>
              <w:rPr>
                <w:sz w:val="19"/>
              </w:rPr>
              <w:t>Suivi autorisé</w:t>
            </w:r>
          </w:p>
        </w:tc>
      </w:tr>
      <w:tr>
        <w:trPr>
          <w:cantSplit/>
        </w:trPr>
        <w:tc>
          <w:tcPr>
            <w:tcW w:type="dxa" w:w="3672"/>
            <w:vAlign w:val="center"/>
            <w:shd w:fill="F1F3F6"/>
            <w:tcMar>
              <w:top w:w="75" w:type="dxa"/>
              <w:left w:w="75" w:type="dxa"/>
              <w:bottom w:w="75" w:type="dxa"/>
              <w:right w:w="75" w:type="dxa"/>
            </w:tcMar>
          </w:tcPr>
          <w:p>
            <w:pPr>
              <w:spacing w:after="40" w:line="245" w:lineRule="auto"/>
            </w:pPr>
            <w:r>
              <w:rPr>
                <w:sz w:val="19"/>
              </w:rPr>
              <w:t>Publier et republier</w:t>
            </w:r>
          </w:p>
        </w:tc>
        <w:tc>
          <w:tcPr>
            <w:tcW w:type="dxa" w:w="1944"/>
            <w:vAlign w:val="center"/>
            <w:shd w:fill="F1F3F6"/>
            <w:tcMar>
              <w:top w:w="75" w:type="dxa"/>
              <w:left w:w="75" w:type="dxa"/>
              <w:bottom w:w="75" w:type="dxa"/>
              <w:right w:w="75" w:type="dxa"/>
            </w:tcMar>
          </w:tcPr>
          <w:p>
            <w:pPr>
              <w:spacing w:after="40" w:line="245" w:lineRule="auto"/>
            </w:pPr>
            <w:r>
              <w:rPr>
                <w:sz w:val="19"/>
              </w:rPr>
              <w:t>Non</w:t>
            </w:r>
          </w:p>
        </w:tc>
        <w:tc>
          <w:tcPr>
            <w:tcW w:type="dxa" w:w="2232"/>
            <w:vAlign w:val="center"/>
            <w:shd w:fill="F1F3F6"/>
            <w:tcMar>
              <w:top w:w="75" w:type="dxa"/>
              <w:left w:w="75" w:type="dxa"/>
              <w:bottom w:w="75" w:type="dxa"/>
              <w:right w:w="75" w:type="dxa"/>
            </w:tcMar>
          </w:tcPr>
          <w:p>
            <w:pPr>
              <w:spacing w:after="40" w:line="245" w:lineRule="auto"/>
            </w:pPr>
            <w:r>
              <w:rPr>
                <w:sz w:val="19"/>
              </w:rPr>
              <w:t>Non</w:t>
            </w:r>
          </w:p>
        </w:tc>
        <w:tc>
          <w:tcPr>
            <w:tcW w:type="dxa" w:w="2232"/>
            <w:vAlign w:val="center"/>
            <w:shd w:fill="F1F3F6"/>
            <w:tcMar>
              <w:top w:w="75" w:type="dxa"/>
              <w:left w:w="75" w:type="dxa"/>
              <w:bottom w:w="75" w:type="dxa"/>
              <w:right w:w="75" w:type="dxa"/>
            </w:tcMar>
          </w:tcPr>
          <w:p>
            <w:pPr>
              <w:spacing w:after="40" w:line="245" w:lineRule="auto"/>
            </w:pPr>
            <w:r>
              <w:rPr>
                <w:sz w:val="19"/>
              </w:rPr>
              <w:t>Son périmètre</w:t>
            </w:r>
          </w:p>
        </w:tc>
      </w:tr>
      <w:tr>
        <w:trPr>
          <w:cantSplit/>
        </w:trPr>
        <w:tc>
          <w:tcPr>
            <w:tcW w:type="dxa" w:w="3672"/>
            <w:vAlign w:val="center"/>
            <w:shd w:fill="FFFFFF"/>
            <w:tcMar>
              <w:top w:w="75" w:type="dxa"/>
              <w:left w:w="75" w:type="dxa"/>
              <w:bottom w:w="75" w:type="dxa"/>
              <w:right w:w="75" w:type="dxa"/>
            </w:tcMar>
          </w:tcPr>
          <w:p>
            <w:pPr>
              <w:spacing w:after="40" w:line="245" w:lineRule="auto"/>
            </w:pPr>
            <w:r>
              <w:rPr>
                <w:sz w:val="19"/>
              </w:rPr>
              <w:t>Gérer structure et comptes</w:t>
            </w:r>
          </w:p>
        </w:tc>
        <w:tc>
          <w:tcPr>
            <w:tcW w:type="dxa" w:w="1944"/>
            <w:vAlign w:val="center"/>
            <w:shd w:fill="FFFFFF"/>
            <w:tcMar>
              <w:top w:w="75" w:type="dxa"/>
              <w:left w:w="75" w:type="dxa"/>
              <w:bottom w:w="75" w:type="dxa"/>
              <w:right w:w="75" w:type="dxa"/>
            </w:tcMar>
          </w:tcPr>
          <w:p>
            <w:pPr>
              <w:spacing w:after="40" w:line="245" w:lineRule="auto"/>
            </w:pPr>
            <w:r>
              <w:rPr>
                <w:sz w:val="19"/>
              </w:rPr>
              <w:t>Non</w:t>
            </w:r>
          </w:p>
        </w:tc>
        <w:tc>
          <w:tcPr>
            <w:tcW w:type="dxa" w:w="2232"/>
            <w:vAlign w:val="center"/>
            <w:shd w:fill="FFFFFF"/>
            <w:tcMar>
              <w:top w:w="75" w:type="dxa"/>
              <w:left w:w="75" w:type="dxa"/>
              <w:bottom w:w="75" w:type="dxa"/>
              <w:right w:w="75" w:type="dxa"/>
            </w:tcMar>
          </w:tcPr>
          <w:p>
            <w:pPr>
              <w:spacing w:after="40" w:line="245" w:lineRule="auto"/>
            </w:pPr>
            <w:r>
              <w:rPr>
                <w:sz w:val="19"/>
              </w:rPr>
              <w:t>Non</w:t>
            </w:r>
          </w:p>
        </w:tc>
        <w:tc>
          <w:tcPr>
            <w:tcW w:type="dxa" w:w="2232"/>
            <w:vAlign w:val="center"/>
            <w:shd w:fill="FFFFFF"/>
            <w:tcMar>
              <w:top w:w="75" w:type="dxa"/>
              <w:left w:w="75" w:type="dxa"/>
              <w:bottom w:w="75" w:type="dxa"/>
              <w:right w:w="75" w:type="dxa"/>
            </w:tcMar>
          </w:tcPr>
          <w:p>
            <w:pPr>
              <w:spacing w:after="40" w:line="245" w:lineRule="auto"/>
            </w:pPr>
            <w:r>
              <w:rPr>
                <w:sz w:val="19"/>
              </w:rPr>
              <w:t>Son périmètre</w:t>
            </w:r>
          </w:p>
        </w:tc>
      </w:tr>
      <w:tr>
        <w:trPr>
          <w:cantSplit/>
        </w:trPr>
        <w:tc>
          <w:tcPr>
            <w:tcW w:type="dxa" w:w="3672"/>
            <w:vAlign w:val="center"/>
            <w:shd w:fill="F1F3F6"/>
            <w:tcMar>
              <w:top w:w="75" w:type="dxa"/>
              <w:left w:w="75" w:type="dxa"/>
              <w:bottom w:w="75" w:type="dxa"/>
              <w:right w:w="75" w:type="dxa"/>
            </w:tcMar>
          </w:tcPr>
          <w:p>
            <w:pPr>
              <w:spacing w:after="40" w:line="245" w:lineRule="auto"/>
            </w:pPr>
            <w:r>
              <w:rPr>
                <w:sz w:val="19"/>
              </w:rPr>
              <w:t>Consulter preuves privées</w:t>
            </w:r>
          </w:p>
        </w:tc>
        <w:tc>
          <w:tcPr>
            <w:tcW w:type="dxa" w:w="1944"/>
            <w:vAlign w:val="center"/>
            <w:shd w:fill="F1F3F6"/>
            <w:tcMar>
              <w:top w:w="75" w:type="dxa"/>
              <w:left w:w="75" w:type="dxa"/>
              <w:bottom w:w="75" w:type="dxa"/>
              <w:right w:w="75" w:type="dxa"/>
            </w:tcMar>
          </w:tcPr>
          <w:p>
            <w:pPr>
              <w:spacing w:after="40" w:line="245" w:lineRule="auto"/>
            </w:pPr>
            <w:r>
              <w:rPr>
                <w:sz w:val="19"/>
              </w:rPr>
              <w:t>Les siennes</w:t>
            </w:r>
          </w:p>
        </w:tc>
        <w:tc>
          <w:tcPr>
            <w:tcW w:type="dxa" w:w="2232"/>
            <w:vAlign w:val="center"/>
            <w:shd w:fill="F1F3F6"/>
            <w:tcMar>
              <w:top w:w="75" w:type="dxa"/>
              <w:left w:w="75" w:type="dxa"/>
              <w:bottom w:w="75" w:type="dxa"/>
              <w:right w:w="75" w:type="dxa"/>
            </w:tcMar>
          </w:tcPr>
          <w:p>
            <w:pPr>
              <w:spacing w:after="40" w:line="245" w:lineRule="auto"/>
            </w:pPr>
            <w:r>
              <w:rPr>
                <w:sz w:val="19"/>
              </w:rPr>
              <w:t>Dossiers à traiter</w:t>
            </w:r>
          </w:p>
        </w:tc>
        <w:tc>
          <w:tcPr>
            <w:tcW w:type="dxa" w:w="2232"/>
            <w:vAlign w:val="center"/>
            <w:shd w:fill="F1F3F6"/>
            <w:tcMar>
              <w:top w:w="75" w:type="dxa"/>
              <w:left w:w="75" w:type="dxa"/>
              <w:bottom w:w="75" w:type="dxa"/>
              <w:right w:w="75" w:type="dxa"/>
            </w:tcMar>
          </w:tcPr>
          <w:p>
            <w:pPr>
              <w:spacing w:after="40" w:line="245" w:lineRule="auto"/>
            </w:pPr>
            <w:r>
              <w:rPr>
                <w:sz w:val="19"/>
              </w:rPr>
              <w:t>Habilitation explicite</w:t>
            </w:r>
          </w:p>
        </w:tc>
      </w:tr>
    </w:tbl>
    <w:p>
      <w:pPr>
        <w:pStyle w:val="Heading2"/>
      </w:pPr>
      <w:r>
        <w:t>EF01 Connexion et comptes</w:t>
      </w:r>
    </w:p>
    <w:p>
      <w:r>
        <w:t>L’accès aux fonctions protégées nécessite un compte actif. La déconnexion ferme la session. L’agent gère l’activation et les profils. La méthode de récupération de compte est à définir avant mise en service; les mots de passe ne sont jamais affichés ni transmis en clair.</w:t>
      </w:r>
    </w:p>
    <w:p>
      <w:pPr>
        <w:pStyle w:val="Heading2"/>
      </w:pPr>
      <w:r>
        <w:t>EF02 Contrôle du périmètre</w:t>
      </w:r>
    </w:p>
    <w:p>
      <w:r>
        <w:t>Un étudiant accède uniquement à ses données. Un enseignant intervient uniquement sur ses affectations et les requêtes correspondantes. Les contrôles sont exécutés par l’API pour chaque opération, y compris lors d’un accès direct par identifiant ou à une pièce jointe.</w:t>
      </w:r>
    </w:p>
    <w:p>
      <w:pPr>
        <w:pStyle w:val="Heading2"/>
      </w:pPr>
      <w:r>
        <w:t>EF03 Séparation des responsabilités</w:t>
      </w:r>
    </w:p>
    <w:p>
      <w:r>
        <w:t>La validation définitive d’une note appartient à l’enseignant. L’agent contrôle la disponibilité des résultats validés et déclenche leur publication. Il ne choisit ni les évaluations retenues ni leurs pourcentages à la place de l’enseignant.</w:t>
      </w:r>
    </w:p>
    <w:p>
      <w:pPr>
        <w:pStyle w:val="Heading2"/>
      </w:pPr>
      <w:r>
        <w:t>Fonctions automatiques</w:t>
      </w:r>
    </w:p>
    <w:p>
      <w:r>
        <w:t>Les calculs, la construction des listes et les rappels sont des traitements du système. Ils ne constituent pas un quatrième rôle humain. Les événements automatiques sont identifiés comme tels dans le journal.</w:t>
      </w:r>
    </w:p>
    <w:p>
      <w:r>
        <w:t>La numérisation assistée par l’agent figurait dans le recueil initial. Si elle est conservée, elle prépare uniquement des brouillons à vérifier par l’enseignant; elle n’accorde jamais le droit de validation finale.</w:t>
      </w:r>
    </w:p>
    <w:p>
      <w:pPr>
        <w:pStyle w:val="Heading1"/>
        <w:pageBreakBefore/>
      </w:pPr>
      <w:r>
        <w:t>3 Structure académique et inscriptions</w:t>
      </w:r>
    </w:p>
    <w:p>
      <w:pPr>
        <w:pStyle w:val="Heading2"/>
      </w:pPr>
      <w:r>
        <w:t>EF04 Organisation académique</w:t>
      </w:r>
    </w:p>
    <w:p>
      <w:r>
        <w:t>La structure suit Université, Faculté, Département, Filière, Niveau et Classe. Une classe regroupe les étudiants d’un même niveau dans une filière et une année académique. L’effectif est calculé à partir des inscriptions, et non saisi indépendamment.</w:t>
      </w:r>
    </w:p>
    <w:p>
      <w:pPr>
        <w:pStyle w:val="Heading2"/>
      </w:pPr>
      <w:r>
        <w:t>RG01 UE et matières</w:t>
      </w:r>
    </w:p>
    <w:p>
      <w:r>
        <w:t>Une UE comporte un ou deux éléments constitutifs. Le terme Matière du recueil désigne un EC. Chaque matière possède un crédit, également appelé coefficient, strictement positif. L’UE possède des crédits utilisés pour la MGP et une catégorie fondamentale ou optionnelle. La catégorie ne fixe pas automatiquement les pourcentages des évaluations.</w:t>
      </w:r>
    </w:p>
    <w:p>
      <w:pPr>
        <w:pStyle w:val="Heading2"/>
      </w:pPr>
      <w:r>
        <w:t>EF05 Inscription annuelle et choix</w:t>
      </w:r>
    </w:p>
    <w:p>
      <w:r>
        <w:t>L’identité de l’étudiant est conservée entre les années. Inscription de classe porte le statut annuel. Les inscriptions UE y sont rattachées et validées par l’agent. En reprise du niveau, les UE dont la note finale arrondie est au moins 50 sont conservées. Toute UE inférieure à 50 ou portant EL doit être reprise avec tous ses EC, même si un EC avait atteint 50. Les anciennes notes restent historisées; elles ne remplacent pas les nouvelles évaluations des EC à reprendre.</w:t>
      </w:r>
    </w:p>
    <w:p>
      <w:pPr>
        <w:pStyle w:val="Heading2"/>
      </w:pPr>
      <w:r>
        <w:t>EF06 Affectations</w:t>
      </w:r>
    </w:p>
    <w:p>
      <w:r>
        <w:t>Une affectation relie un enseignant à une matière et une classe. Elle détermine son périmètre de saisie et de traitement. La matière appartient au programme applicable à la classe. Les changements de programme sont versionnés pour préserver l’explication des anciens résultats.</w:t>
      </w:r>
    </w:p>
    <w:p>
      <w:pPr>
        <w:pStyle w:val="Heading2"/>
      </w:pPr>
      <w:r>
        <w:t>Notation du recueil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480"/>
      </w:tblGrid>
      <w:tr>
        <w:trPr>
          <w:cantSplit/>
          <w:tblHeader/>
        </w:trPr>
        <w:tc>
          <w:tcPr>
            <w:tcW w:type="dxa" w:w="3600"/>
            <w:vAlign w:val="center"/>
            <w:shd w:fill="1B2942"/>
            <w:tcMar>
              <w:top w:w="75" w:type="dxa"/>
              <w:left w:w="75" w:type="dxa"/>
              <w:bottom w:w="75" w:type="dxa"/>
              <w:right w:w="75" w:type="dxa"/>
            </w:tcMar>
          </w:tcPr>
          <w:p>
            <w:pPr>
              <w:spacing w:after="40" w:line="245" w:lineRule="auto"/>
            </w:pPr>
            <w:r>
              <w:rPr>
                <w:b/>
                <w:color w:val="FFFFFF"/>
                <w:sz w:val="19"/>
              </w:rPr>
              <w:t>Terme ou code</w:t>
            </w:r>
          </w:p>
        </w:tc>
        <w:tc>
          <w:tcPr>
            <w:tcW w:type="dxa" w:w="6480"/>
            <w:vAlign w:val="center"/>
            <w:shd w:fill="1B2942"/>
            <w:tcMar>
              <w:top w:w="75" w:type="dxa"/>
              <w:left w:w="75" w:type="dxa"/>
              <w:bottom w:w="75" w:type="dxa"/>
              <w:right w:w="75" w:type="dxa"/>
            </w:tcMar>
          </w:tcPr>
          <w:p>
            <w:pPr>
              <w:spacing w:after="40" w:line="245" w:lineRule="auto"/>
            </w:pPr>
            <w:r>
              <w:rPr>
                <w:b/>
                <w:color w:val="FFFFFF"/>
                <w:sz w:val="19"/>
              </w:rPr>
              <w:t>Sens retenu</w:t>
            </w:r>
          </w:p>
        </w:tc>
      </w:tr>
      <w:tr>
        <w:trPr>
          <w:cantSplit/>
        </w:trPr>
        <w:tc>
          <w:tcPr>
            <w:tcW w:type="dxa" w:w="3600"/>
            <w:vAlign w:val="center"/>
            <w:shd w:fill="FFFFFF"/>
            <w:tcMar>
              <w:top w:w="75" w:type="dxa"/>
              <w:left w:w="75" w:type="dxa"/>
              <w:bottom w:w="75" w:type="dxa"/>
              <w:right w:w="75" w:type="dxa"/>
            </w:tcMar>
          </w:tcPr>
          <w:p>
            <w:pPr>
              <w:spacing w:after="40" w:line="245" w:lineRule="auto"/>
            </w:pPr>
            <w:r>
              <w:rPr>
                <w:sz w:val="19"/>
              </w:rPr>
              <w:t>Code_UE et Code_M</w:t>
            </w:r>
          </w:p>
        </w:tc>
        <w:tc>
          <w:tcPr>
            <w:tcW w:type="dxa" w:w="6480"/>
            <w:vAlign w:val="center"/>
            <w:shd w:fill="FFFFFF"/>
            <w:tcMar>
              <w:top w:w="75" w:type="dxa"/>
              <w:left w:w="75" w:type="dxa"/>
              <w:bottom w:w="75" w:type="dxa"/>
              <w:right w:w="75" w:type="dxa"/>
            </w:tcMar>
          </w:tcPr>
          <w:p>
            <w:pPr>
              <w:spacing w:after="40" w:line="245" w:lineRule="auto"/>
            </w:pPr>
            <w:r>
              <w:rPr>
                <w:sz w:val="19"/>
              </w:rPr>
              <w:t>Identifiants de l’UE et de la Matière ou EC</w:t>
            </w:r>
          </w:p>
        </w:tc>
      </w:tr>
      <w:tr>
        <w:trPr>
          <w:cantSplit/>
        </w:trPr>
        <w:tc>
          <w:tcPr>
            <w:tcW w:type="dxa" w:w="3600"/>
            <w:vAlign w:val="center"/>
            <w:shd w:fill="F1F3F6"/>
            <w:tcMar>
              <w:top w:w="75" w:type="dxa"/>
              <w:left w:w="75" w:type="dxa"/>
              <w:bottom w:w="75" w:type="dxa"/>
              <w:right w:w="75" w:type="dxa"/>
            </w:tcMar>
          </w:tcPr>
          <w:p>
            <w:pPr>
              <w:spacing w:after="40" w:line="245" w:lineRule="auto"/>
            </w:pPr>
            <w:r>
              <w:rPr>
                <w:sz w:val="19"/>
              </w:rPr>
              <w:t>EID et Matricule</w:t>
            </w:r>
          </w:p>
        </w:tc>
        <w:tc>
          <w:tcPr>
            <w:tcW w:type="dxa" w:w="6480"/>
            <w:vAlign w:val="center"/>
            <w:shd w:fill="F1F3F6"/>
            <w:tcMar>
              <w:top w:w="75" w:type="dxa"/>
              <w:left w:w="75" w:type="dxa"/>
              <w:bottom w:w="75" w:type="dxa"/>
              <w:right w:w="75" w:type="dxa"/>
            </w:tcMar>
          </w:tcPr>
          <w:p>
            <w:pPr>
              <w:spacing w:after="40" w:line="245" w:lineRule="auto"/>
            </w:pPr>
            <w:r>
              <w:rPr>
                <w:sz w:val="19"/>
              </w:rPr>
              <w:t>Identifiants métier de l’enseignant et de l’étudiant</w:t>
            </w:r>
          </w:p>
        </w:tc>
      </w:tr>
      <w:tr>
        <w:trPr>
          <w:cantSplit/>
        </w:trPr>
        <w:tc>
          <w:tcPr>
            <w:tcW w:type="dxa" w:w="3600"/>
            <w:vAlign w:val="center"/>
            <w:shd w:fill="FFFFFF"/>
            <w:tcMar>
              <w:top w:w="75" w:type="dxa"/>
              <w:left w:w="75" w:type="dxa"/>
              <w:bottom w:w="75" w:type="dxa"/>
              <w:right w:w="75" w:type="dxa"/>
            </w:tcMar>
          </w:tcPr>
          <w:p>
            <w:pPr>
              <w:spacing w:after="40" w:line="245" w:lineRule="auto"/>
            </w:pPr>
            <w:r>
              <w:rPr>
                <w:sz w:val="19"/>
              </w:rPr>
              <w:t>Code_Note et Valeur_Note</w:t>
            </w:r>
          </w:p>
        </w:tc>
        <w:tc>
          <w:tcPr>
            <w:tcW w:type="dxa" w:w="6480"/>
            <w:vAlign w:val="center"/>
            <w:shd w:fill="FFFFFF"/>
            <w:tcMar>
              <w:top w:w="75" w:type="dxa"/>
              <w:left w:w="75" w:type="dxa"/>
              <w:bottom w:w="75" w:type="dxa"/>
              <w:right w:w="75" w:type="dxa"/>
            </w:tcMar>
          </w:tcPr>
          <w:p>
            <w:pPr>
              <w:spacing w:after="40" w:line="245" w:lineRule="auto"/>
            </w:pPr>
            <w:r>
              <w:rPr>
                <w:sz w:val="19"/>
              </w:rPr>
              <w:t>Identifiant et valeur numérique sur 100</w:t>
            </w:r>
          </w:p>
        </w:tc>
      </w:tr>
      <w:tr>
        <w:trPr>
          <w:cantSplit/>
        </w:trPr>
        <w:tc>
          <w:tcPr>
            <w:tcW w:type="dxa" w:w="3600"/>
            <w:vAlign w:val="center"/>
            <w:shd w:fill="F1F3F6"/>
            <w:tcMar>
              <w:top w:w="75" w:type="dxa"/>
              <w:left w:w="75" w:type="dxa"/>
              <w:bottom w:w="75" w:type="dxa"/>
              <w:right w:w="75" w:type="dxa"/>
            </w:tcMar>
          </w:tcPr>
          <w:p>
            <w:pPr>
              <w:spacing w:after="40" w:line="245" w:lineRule="auto"/>
            </w:pPr>
            <w:r>
              <w:rPr>
                <w:sz w:val="19"/>
              </w:rPr>
              <w:t>Code_Re</w:t>
            </w:r>
          </w:p>
        </w:tc>
        <w:tc>
          <w:tcPr>
            <w:tcW w:type="dxa" w:w="6480"/>
            <w:vAlign w:val="center"/>
            <w:shd w:fill="F1F3F6"/>
            <w:tcMar>
              <w:top w:w="75" w:type="dxa"/>
              <w:left w:w="75" w:type="dxa"/>
              <w:bottom w:w="75" w:type="dxa"/>
              <w:right w:w="75" w:type="dxa"/>
            </w:tcMar>
          </w:tcPr>
          <w:p>
            <w:pPr>
              <w:spacing w:after="40" w:line="245" w:lineRule="auto"/>
            </w:pPr>
            <w:r>
              <w:rPr>
                <w:sz w:val="19"/>
              </w:rPr>
              <w:t>Identifiant de la requête</w:t>
            </w:r>
          </w:p>
        </w:tc>
      </w:tr>
      <w:tr>
        <w:trPr>
          <w:cantSplit/>
        </w:trPr>
        <w:tc>
          <w:tcPr>
            <w:tcW w:type="dxa" w:w="3600"/>
            <w:vAlign w:val="center"/>
            <w:shd w:fill="FFFFFF"/>
            <w:tcMar>
              <w:top w:w="75" w:type="dxa"/>
              <w:left w:w="75" w:type="dxa"/>
              <w:bottom w:w="75" w:type="dxa"/>
              <w:right w:w="75" w:type="dxa"/>
            </w:tcMar>
          </w:tcPr>
          <w:p>
            <w:pPr>
              <w:spacing w:after="40" w:line="245" w:lineRule="auto"/>
            </w:pPr>
            <w:r>
              <w:rPr>
                <w:sz w:val="19"/>
              </w:rPr>
              <w:t>MGP_S1 MGP_S2 MGP_Total</w:t>
            </w:r>
          </w:p>
        </w:tc>
        <w:tc>
          <w:tcPr>
            <w:tcW w:type="dxa" w:w="6480"/>
            <w:vAlign w:val="center"/>
            <w:shd w:fill="FFFFFF"/>
            <w:tcMar>
              <w:top w:w="75" w:type="dxa"/>
              <w:left w:w="75" w:type="dxa"/>
              <w:bottom w:w="75" w:type="dxa"/>
              <w:right w:w="75" w:type="dxa"/>
            </w:tcMar>
          </w:tcPr>
          <w:p>
            <w:pPr>
              <w:spacing w:after="40" w:line="245" w:lineRule="auto"/>
            </w:pPr>
            <w:r>
              <w:rPr>
                <w:sz w:val="19"/>
              </w:rPr>
              <w:t>Résultats semestriels et annuel du bulletin</w:t>
            </w:r>
          </w:p>
        </w:tc>
      </w:tr>
    </w:tbl>
    <w:p>
      <w:r>
        <w:t>Les identifiants soulignés et références # en italique sont conservés dans les diagrammes. Leur choix technique, leurs types SQL, index et contraintes seront examinés après réception des tables. Les doublons d’inscription, d’affectation et de note doivent être refusés sans effacer l’historique.</w:t>
      </w:r>
    </w:p>
    <w:p>
      <w:pPr>
        <w:pStyle w:val="Heading1"/>
        <w:pageBreakBefore/>
      </w:pPr>
      <w:r>
        <w:t>4 Évaluations et validation des notes</w:t>
      </w:r>
    </w:p>
    <w:p>
      <w:pPr>
        <w:pStyle w:val="Heading2"/>
      </w:pPr>
      <w:r>
        <w:t>EF07 Plan commun de la classe</w:t>
      </w:r>
    </w:p>
    <w:p>
      <w:r>
        <w:t>Pour chaque matière dispensée, l’enseignant crée les évaluations de type CC, TP ou SN qu’il organise. Il choisit celles à retenir et leur pondération. La sélection s’applique à toute sa classe pour cette matière. Plusieurs évaluations du même type sont possibles.</w:t>
      </w:r>
    </w:p>
    <w:p>
      <w:pPr>
        <w:pStyle w:val="Heading2"/>
      </w:pPr>
      <w:r>
        <w:t>RG02 Pondérations</w:t>
      </w:r>
    </w:p>
    <w:p>
      <w:r>
        <w:t>La somme des pourcentages des évaluations retenues doit être égale à 100. Une évaluation non retenue ne contribue pas à la moyenne. Le système refuse l’activation d’un plan dont la somme est incorrecte. Les anciens pourcentages fixes du recueil ne sont plus une règle imposée.</w:t>
      </w:r>
    </w:p>
    <w:p>
      <w:pPr>
        <w:pStyle w:val="Heading2"/>
      </w:pPr>
      <w:r>
        <w:t>EF08 Exception individuelle</w:t>
      </w:r>
    </w:p>
    <w:p>
      <w:r>
        <w:t>Après une requête de l’étudiant et une décision approuvée de l’enseignant, une sélection individuelle peut être appliquée. L’exception garde la référence au plan commun, à l’étudiant et à la décision. Sa sélection et ses poids effectifs doivent rester explicables et totaliser 100 %. Elle ne modifie pas les résultats des autres étudiants. L’exception est une version de Plan évaluation de portée ETUDIANT, utilisant les mêmes Ligne plan que le plan de classe; aucune table Exception distincte n’est nécessaire.</w:t>
      </w:r>
    </w:p>
    <w:p>
      <w:pPr>
        <w:pStyle w:val="Heading2"/>
      </w:pPr>
      <w:r>
        <w:t>EF09 Saisie des notes</w:t>
      </w:r>
    </w:p>
    <w:p>
      <w:r>
        <w:t>Chaque note numérique est comprise entre 0 et 100, bornes incluses. Zéro est une valeur valide. Une note manquante, une absence, une évaluation non prévue et une évaluation non retenue sont distinguées explicitement. Aucune absence n’est convertie automatiquement en zéro.</w:t>
      </w:r>
    </w:p>
    <w:p>
      <w:pPr>
        <w:pStyle w:val="Heading2"/>
      </w:pPr>
      <w:r>
        <w:t>EF10 Validation définitive</w:t>
      </w:r>
    </w:p>
    <w:p>
      <w:r>
        <w:t>L’enseignant vérifie les valeurs et les situations particulières avant validation. Une note saisie reste un brouillon tant qu’elle n’est pas validée. L’identité du validateur, la date et la version de la note sont conservées. La validation pédagogique de l’UE et la validation de la saisie sont deux notions différentes.</w:t>
      </w:r>
    </w:p>
    <w:p>
      <w:pPr>
        <w:pStyle w:val="Heading2"/>
      </w:pPr>
      <w:r>
        <w:t>Correction et concurrence</w:t>
      </w:r>
    </w:p>
    <w:p>
      <w:r>
        <w:t>Toute modification de note, y compris sur décision du jury, est saisie et validée par l’enseignant. Conserver ancienne et nouvelle valeur, motif, auteur et date. Une note validée corrigée produit une nouvelle version à valider; après publication, l’agent republie les résultats recalculés. Le système refuse l’écrasement silencieux d’une modification concurrente.</w:t>
      </w:r>
    </w:p>
    <w:p>
      <w:r>
        <w:t>Une évaluation et sa date sont identifiées afin de calculer les rappels. Le suivi indique séparément les notes à saisir, les notes à valider et les absences à traiter. Une évaluation annulée ne doit plus produire de relances.</w:t>
      </w:r>
    </w:p>
    <w:p>
      <w:pPr>
        <w:pStyle w:val="Heading1"/>
        <w:pageBreakBefore/>
      </w:pPr>
      <w:r>
        <w:t>5 Calcul des matières des UE et de la MGP</w:t>
      </w:r>
    </w:p>
    <w:p>
      <w:pPr>
        <w:pStyle w:val="Heading2"/>
      </w:pPr>
      <w:r>
        <w:t>RG03 Calcul de la matière</w:t>
      </w:r>
    </w:p>
    <w:p>
      <w:r>
        <w:t>Pour un étudiant, le système utilise le plan commun ou son exception approuvée. Il résout d’abord les notes effectives, notamment les remplacements de SN, puis calcule la moyenne pondérée des évaluations retenues.</w:t>
      </w:r>
    </w:p>
    <w:p>
      <w:r>
        <w:t>Note_Brute_Matiere = somme(Valeur_Note × Poids_Effectif) / 100</w:t>
      </w:r>
    </w:p>
    <w:p>
      <w:r>
        <w:t>Note_Arrondie_Matiere = plafond(Note_Brute_Matiere)</w:t>
      </w:r>
    </w:p>
    <w:p>
      <w:pPr>
        <w:pStyle w:val="Heading2"/>
      </w:pPr>
      <w:r>
        <w:t>RG04 Calcul de l’UE</w:t>
      </w:r>
    </w:p>
    <w:p>
      <w:r>
        <w:t>La moyenne de l’UE utilise les résultats des matières déjà arrondis à l’entier supérieur, pondérés par leurs crédits. La moyenne de l’UE est ensuite elle-même arrondie à l’entier supérieur avant attribution du grade.</w:t>
      </w:r>
    </w:p>
    <w:p>
      <w:r>
        <w:t>Note_Brute_UE = somme(Note_Arrondie_Matiere × Credit_Matiere) / somme(Credit_Matiere)</w:t>
      </w:r>
    </w:p>
    <w:p>
      <w:r>
        <w:t>Note_Arrondie_UE = plafond(Note_Brute_UE)</w:t>
      </w:r>
    </w:p>
    <w:p>
      <w:pPr>
        <w:pStyle w:val="Heading2"/>
      </w:pPr>
      <w:r>
        <w:t>RG05 Calcul de la MGP</w:t>
      </w:r>
    </w:p>
    <w:p>
      <w:r>
        <w:t>Les points du barème sont pondérés par les crédits des UE du parcours retenu, y compris les UE en échec numérique. Les UE optionnelles non choisies sont exclues. Les seuls crédits acquis ne constituent pas le dénominateur.</w:t>
      </w:r>
    </w:p>
    <w:p>
      <w:r>
        <w:t>MGP = somme(Points_UE × Credit_UE) / somme(Credit_UE)</w:t>
      </w:r>
    </w:p>
    <w:p>
      <w:r>
        <w:t>La MGP annuelle utilise toutes les contributions de l’année. La moyenne simple des MGP des deux semestres convient uniquement si leurs charges sont égales. La moyenne équivalente sur 20 vaut MGP × 5. Le plafond ne s’applique pas à la MGP.</w:t>
      </w:r>
    </w:p>
    <w:p>
      <w:pPr>
        <w:pStyle w:val="Heading2"/>
      </w:pPr>
      <w:r>
        <w:t>Exemple vérifiable</w:t>
      </w:r>
    </w:p>
    <w:p>
      <w:r>
        <w:t>Matière A : CC 40 à 30 %, TP 50 à 20 %, SN 50,4 à 50 %. Le résultat brut est 47,2 et la note retenue 48. Matière B : résultat brut 60,1, note retenue 61. Avec des crédits respectifs de 1 et 2, l’UE vaut (48 + 2 × 61) / 3 = 56,666… ; elle est retenue à 57, grade C+, points 2,30.</w:t>
      </w:r>
    </w:p>
    <w:p>
      <w:r>
        <w:t>Proposition de réalisation : conserver les valeurs brutes et les décimales nécessaires; afficher la MGP à deux décimales, sans utiliser cette valeur affichée pour décider le seuil de 2. Une donnée manquante ne devient jamais une note de calcul. Pour une UE EL, attribuer 0 point dans le numérateur et conserver ses crédits dans le dénominateur; la mention EL reste affichée, sans note numérique de 0/100 inventée.</w:t>
      </w:r>
    </w:p>
    <w:p>
      <w:pPr>
        <w:pStyle w:val="Heading1"/>
        <w:pageBreakBefore/>
      </w:pPr>
      <w:r>
        <w:t>6 Grades et décision d’admission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2880"/>
        <w:gridCol w:w="2880"/>
      </w:tblGrid>
      <w:tr>
        <w:trPr>
          <w:cantSplit/>
          <w:tblHeader/>
        </w:trPr>
        <w:tc>
          <w:tcPr>
            <w:tcW w:type="dxa" w:w="4320"/>
            <w:vAlign w:val="center"/>
            <w:shd w:fill="1B2942"/>
            <w:tcMar>
              <w:top w:w="75" w:type="dxa"/>
              <w:left w:w="75" w:type="dxa"/>
              <w:bottom w:w="75" w:type="dxa"/>
              <w:right w:w="75" w:type="dxa"/>
            </w:tcMar>
          </w:tcPr>
          <w:p>
            <w:pPr>
              <w:spacing w:after="40" w:line="245" w:lineRule="auto"/>
            </w:pPr>
            <w:r>
              <w:rPr>
                <w:b/>
                <w:color w:val="FFFFFF"/>
                <w:sz w:val="19"/>
              </w:rPr>
              <w:t>Note UE arrondie</w:t>
            </w:r>
          </w:p>
        </w:tc>
        <w:tc>
          <w:tcPr>
            <w:tcW w:type="dxa" w:w="2880"/>
            <w:vAlign w:val="center"/>
            <w:shd w:fill="1B2942"/>
            <w:tcMar>
              <w:top w:w="75" w:type="dxa"/>
              <w:left w:w="75" w:type="dxa"/>
              <w:bottom w:w="75" w:type="dxa"/>
              <w:right w:w="75" w:type="dxa"/>
            </w:tcMar>
          </w:tcPr>
          <w:p>
            <w:pPr>
              <w:spacing w:after="40" w:line="245" w:lineRule="auto"/>
            </w:pPr>
            <w:r>
              <w:rPr>
                <w:b/>
                <w:color w:val="FFFFFF"/>
                <w:sz w:val="19"/>
              </w:rPr>
              <w:t>Grade</w:t>
            </w:r>
          </w:p>
        </w:tc>
        <w:tc>
          <w:tcPr>
            <w:tcW w:type="dxa" w:w="2880"/>
            <w:vAlign w:val="center"/>
            <w:shd w:fill="1B2942"/>
            <w:tcMar>
              <w:top w:w="75" w:type="dxa"/>
              <w:left w:w="75" w:type="dxa"/>
              <w:bottom w:w="75" w:type="dxa"/>
              <w:right w:w="75" w:type="dxa"/>
            </w:tcMar>
          </w:tcPr>
          <w:p>
            <w:pPr>
              <w:spacing w:after="40" w:line="245" w:lineRule="auto"/>
            </w:pPr>
            <w:r>
              <w:rPr>
                <w:b/>
                <w:color w:val="FFFFFF"/>
                <w:sz w:val="19"/>
              </w:rPr>
              <w:t>Points sur 4</w:t>
            </w:r>
          </w:p>
        </w:tc>
      </w:tr>
      <w:tr>
        <w:trPr>
          <w:cantSplit/>
        </w:trPr>
        <w:tc>
          <w:tcPr>
            <w:tcW w:type="dxa" w:w="4320"/>
            <w:vAlign w:val="center"/>
            <w:shd w:fill="FFFFFF"/>
            <w:tcMar>
              <w:top w:w="75" w:type="dxa"/>
              <w:left w:w="75" w:type="dxa"/>
              <w:bottom w:w="75" w:type="dxa"/>
              <w:right w:w="75" w:type="dxa"/>
            </w:tcMar>
          </w:tcPr>
          <w:p>
            <w:pPr>
              <w:spacing w:after="40" w:line="245" w:lineRule="auto"/>
            </w:pPr>
            <w:r>
              <w:rPr>
                <w:sz w:val="19"/>
              </w:rPr>
              <w:t>80 à 100</w:t>
            </w:r>
          </w:p>
        </w:tc>
        <w:tc>
          <w:tcPr>
            <w:tcW w:type="dxa" w:w="2880"/>
            <w:vAlign w:val="center"/>
            <w:shd w:fill="FFFFFF"/>
            <w:tcMar>
              <w:top w:w="75" w:type="dxa"/>
              <w:left w:w="75" w:type="dxa"/>
              <w:bottom w:w="75" w:type="dxa"/>
              <w:right w:w="75" w:type="dxa"/>
            </w:tcMar>
          </w:tcPr>
          <w:p>
            <w:pPr>
              <w:spacing w:after="40" w:line="245" w:lineRule="auto"/>
            </w:pPr>
            <w:r>
              <w:rPr>
                <w:sz w:val="19"/>
              </w:rPr>
              <w:t>A+</w:t>
            </w:r>
          </w:p>
        </w:tc>
        <w:tc>
          <w:tcPr>
            <w:tcW w:type="dxa" w:w="2880"/>
            <w:vAlign w:val="center"/>
            <w:shd w:fill="FFFFFF"/>
            <w:tcMar>
              <w:top w:w="75" w:type="dxa"/>
              <w:left w:w="75" w:type="dxa"/>
              <w:bottom w:w="75" w:type="dxa"/>
              <w:right w:w="75" w:type="dxa"/>
            </w:tcMar>
          </w:tcPr>
          <w:p>
            <w:pPr>
              <w:spacing w:after="40" w:line="245" w:lineRule="auto"/>
            </w:pPr>
            <w:r>
              <w:rPr>
                <w:sz w:val="19"/>
              </w:rPr>
              <w:t>4,00</w:t>
            </w:r>
          </w:p>
        </w:tc>
      </w:tr>
      <w:tr>
        <w:trPr>
          <w:cantSplit/>
        </w:trPr>
        <w:tc>
          <w:tcPr>
            <w:tcW w:type="dxa" w:w="4320"/>
            <w:vAlign w:val="center"/>
            <w:shd w:fill="F1F3F6"/>
            <w:tcMar>
              <w:top w:w="75" w:type="dxa"/>
              <w:left w:w="75" w:type="dxa"/>
              <w:bottom w:w="75" w:type="dxa"/>
              <w:right w:w="75" w:type="dxa"/>
            </w:tcMar>
          </w:tcPr>
          <w:p>
            <w:pPr>
              <w:spacing w:after="40" w:line="245" w:lineRule="auto"/>
            </w:pPr>
            <w:r>
              <w:rPr>
                <w:sz w:val="19"/>
              </w:rPr>
              <w:t>75 à 79</w:t>
            </w:r>
          </w:p>
        </w:tc>
        <w:tc>
          <w:tcPr>
            <w:tcW w:type="dxa" w:w="2880"/>
            <w:vAlign w:val="center"/>
            <w:shd w:fill="F1F3F6"/>
            <w:tcMar>
              <w:top w:w="75" w:type="dxa"/>
              <w:left w:w="75" w:type="dxa"/>
              <w:bottom w:w="75" w:type="dxa"/>
              <w:right w:w="75" w:type="dxa"/>
            </w:tcMar>
          </w:tcPr>
          <w:p>
            <w:pPr>
              <w:spacing w:after="40" w:line="245" w:lineRule="auto"/>
            </w:pPr>
            <w:r>
              <w:rPr>
                <w:sz w:val="19"/>
              </w:rPr>
              <w:t>A−</w:t>
            </w:r>
          </w:p>
        </w:tc>
        <w:tc>
          <w:tcPr>
            <w:tcW w:type="dxa" w:w="2880"/>
            <w:vAlign w:val="center"/>
            <w:shd w:fill="F1F3F6"/>
            <w:tcMar>
              <w:top w:w="75" w:type="dxa"/>
              <w:left w:w="75" w:type="dxa"/>
              <w:bottom w:w="75" w:type="dxa"/>
              <w:right w:w="75" w:type="dxa"/>
            </w:tcMar>
          </w:tcPr>
          <w:p>
            <w:pPr>
              <w:spacing w:after="40" w:line="245" w:lineRule="auto"/>
            </w:pPr>
            <w:r>
              <w:rPr>
                <w:sz w:val="19"/>
              </w:rPr>
              <w:t>3,70</w:t>
            </w:r>
          </w:p>
        </w:tc>
      </w:tr>
      <w:tr>
        <w:trPr>
          <w:cantSplit/>
        </w:trPr>
        <w:tc>
          <w:tcPr>
            <w:tcW w:type="dxa" w:w="4320"/>
            <w:vAlign w:val="center"/>
            <w:shd w:fill="FFFFFF"/>
            <w:tcMar>
              <w:top w:w="75" w:type="dxa"/>
              <w:left w:w="75" w:type="dxa"/>
              <w:bottom w:w="75" w:type="dxa"/>
              <w:right w:w="75" w:type="dxa"/>
            </w:tcMar>
          </w:tcPr>
          <w:p>
            <w:pPr>
              <w:spacing w:after="40" w:line="245" w:lineRule="auto"/>
            </w:pPr>
            <w:r>
              <w:rPr>
                <w:sz w:val="19"/>
              </w:rPr>
              <w:t>70 à 74</w:t>
            </w:r>
          </w:p>
        </w:tc>
        <w:tc>
          <w:tcPr>
            <w:tcW w:type="dxa" w:w="2880"/>
            <w:vAlign w:val="center"/>
            <w:shd w:fill="FFFFFF"/>
            <w:tcMar>
              <w:top w:w="75" w:type="dxa"/>
              <w:left w:w="75" w:type="dxa"/>
              <w:bottom w:w="75" w:type="dxa"/>
              <w:right w:w="75" w:type="dxa"/>
            </w:tcMar>
          </w:tcPr>
          <w:p>
            <w:pPr>
              <w:spacing w:after="40" w:line="245" w:lineRule="auto"/>
            </w:pPr>
            <w:r>
              <w:rPr>
                <w:sz w:val="19"/>
              </w:rPr>
              <w:t>B+</w:t>
            </w:r>
          </w:p>
        </w:tc>
        <w:tc>
          <w:tcPr>
            <w:tcW w:type="dxa" w:w="2880"/>
            <w:vAlign w:val="center"/>
            <w:shd w:fill="FFFFFF"/>
            <w:tcMar>
              <w:top w:w="75" w:type="dxa"/>
              <w:left w:w="75" w:type="dxa"/>
              <w:bottom w:w="75" w:type="dxa"/>
              <w:right w:w="75" w:type="dxa"/>
            </w:tcMar>
          </w:tcPr>
          <w:p>
            <w:pPr>
              <w:spacing w:after="40" w:line="245" w:lineRule="auto"/>
            </w:pPr>
            <w:r>
              <w:rPr>
                <w:sz w:val="19"/>
              </w:rPr>
              <w:t>3,30</w:t>
            </w:r>
          </w:p>
        </w:tc>
      </w:tr>
      <w:tr>
        <w:trPr>
          <w:cantSplit/>
        </w:trPr>
        <w:tc>
          <w:tcPr>
            <w:tcW w:type="dxa" w:w="4320"/>
            <w:vAlign w:val="center"/>
            <w:shd w:fill="F1F3F6"/>
            <w:tcMar>
              <w:top w:w="75" w:type="dxa"/>
              <w:left w:w="75" w:type="dxa"/>
              <w:bottom w:w="75" w:type="dxa"/>
              <w:right w:w="75" w:type="dxa"/>
            </w:tcMar>
          </w:tcPr>
          <w:p>
            <w:pPr>
              <w:spacing w:after="40" w:line="245" w:lineRule="auto"/>
            </w:pPr>
            <w:r>
              <w:rPr>
                <w:sz w:val="19"/>
              </w:rPr>
              <w:t>65 à 69</w:t>
            </w:r>
          </w:p>
        </w:tc>
        <w:tc>
          <w:tcPr>
            <w:tcW w:type="dxa" w:w="2880"/>
            <w:vAlign w:val="center"/>
            <w:shd w:fill="F1F3F6"/>
            <w:tcMar>
              <w:top w:w="75" w:type="dxa"/>
              <w:left w:w="75" w:type="dxa"/>
              <w:bottom w:w="75" w:type="dxa"/>
              <w:right w:w="75" w:type="dxa"/>
            </w:tcMar>
          </w:tcPr>
          <w:p>
            <w:pPr>
              <w:spacing w:after="40" w:line="245" w:lineRule="auto"/>
            </w:pPr>
            <w:r>
              <w:rPr>
                <w:sz w:val="19"/>
              </w:rPr>
              <w:t>B</w:t>
            </w:r>
          </w:p>
        </w:tc>
        <w:tc>
          <w:tcPr>
            <w:tcW w:type="dxa" w:w="2880"/>
            <w:vAlign w:val="center"/>
            <w:shd w:fill="F1F3F6"/>
            <w:tcMar>
              <w:top w:w="75" w:type="dxa"/>
              <w:left w:w="75" w:type="dxa"/>
              <w:bottom w:w="75" w:type="dxa"/>
              <w:right w:w="75" w:type="dxa"/>
            </w:tcMar>
          </w:tcPr>
          <w:p>
            <w:pPr>
              <w:spacing w:after="40" w:line="245" w:lineRule="auto"/>
            </w:pPr>
            <w:r>
              <w:rPr>
                <w:sz w:val="19"/>
              </w:rPr>
              <w:t>3,00</w:t>
            </w:r>
          </w:p>
        </w:tc>
      </w:tr>
      <w:tr>
        <w:trPr>
          <w:cantSplit/>
        </w:trPr>
        <w:tc>
          <w:tcPr>
            <w:tcW w:type="dxa" w:w="4320"/>
            <w:vAlign w:val="center"/>
            <w:shd w:fill="FFFFFF"/>
            <w:tcMar>
              <w:top w:w="75" w:type="dxa"/>
              <w:left w:w="75" w:type="dxa"/>
              <w:bottom w:w="75" w:type="dxa"/>
              <w:right w:w="75" w:type="dxa"/>
            </w:tcMar>
          </w:tcPr>
          <w:p>
            <w:pPr>
              <w:spacing w:after="40" w:line="245" w:lineRule="auto"/>
            </w:pPr>
            <w:r>
              <w:rPr>
                <w:sz w:val="19"/>
              </w:rPr>
              <w:t>60 à 64</w:t>
            </w:r>
          </w:p>
        </w:tc>
        <w:tc>
          <w:tcPr>
            <w:tcW w:type="dxa" w:w="2880"/>
            <w:vAlign w:val="center"/>
            <w:shd w:fill="FFFFFF"/>
            <w:tcMar>
              <w:top w:w="75" w:type="dxa"/>
              <w:left w:w="75" w:type="dxa"/>
              <w:bottom w:w="75" w:type="dxa"/>
              <w:right w:w="75" w:type="dxa"/>
            </w:tcMar>
          </w:tcPr>
          <w:p>
            <w:pPr>
              <w:spacing w:after="40" w:line="245" w:lineRule="auto"/>
            </w:pPr>
            <w:r>
              <w:rPr>
                <w:sz w:val="19"/>
              </w:rPr>
              <w:t>B−</w:t>
            </w:r>
          </w:p>
        </w:tc>
        <w:tc>
          <w:tcPr>
            <w:tcW w:type="dxa" w:w="2880"/>
            <w:vAlign w:val="center"/>
            <w:shd w:fill="FFFFFF"/>
            <w:tcMar>
              <w:top w:w="75" w:type="dxa"/>
              <w:left w:w="75" w:type="dxa"/>
              <w:bottom w:w="75" w:type="dxa"/>
              <w:right w:w="75" w:type="dxa"/>
            </w:tcMar>
          </w:tcPr>
          <w:p>
            <w:pPr>
              <w:spacing w:after="40" w:line="245" w:lineRule="auto"/>
            </w:pPr>
            <w:r>
              <w:rPr>
                <w:sz w:val="19"/>
              </w:rPr>
              <w:t>2,70</w:t>
            </w:r>
          </w:p>
        </w:tc>
      </w:tr>
      <w:tr>
        <w:trPr>
          <w:cantSplit/>
        </w:trPr>
        <w:tc>
          <w:tcPr>
            <w:tcW w:type="dxa" w:w="4320"/>
            <w:vAlign w:val="center"/>
            <w:shd w:fill="F1F3F6"/>
            <w:tcMar>
              <w:top w:w="75" w:type="dxa"/>
              <w:left w:w="75" w:type="dxa"/>
              <w:bottom w:w="75" w:type="dxa"/>
              <w:right w:w="75" w:type="dxa"/>
            </w:tcMar>
          </w:tcPr>
          <w:p>
            <w:pPr>
              <w:spacing w:after="40" w:line="245" w:lineRule="auto"/>
            </w:pPr>
            <w:r>
              <w:rPr>
                <w:sz w:val="19"/>
              </w:rPr>
              <w:t>55 à 59</w:t>
            </w:r>
          </w:p>
        </w:tc>
        <w:tc>
          <w:tcPr>
            <w:tcW w:type="dxa" w:w="2880"/>
            <w:vAlign w:val="center"/>
            <w:shd w:fill="F1F3F6"/>
            <w:tcMar>
              <w:top w:w="75" w:type="dxa"/>
              <w:left w:w="75" w:type="dxa"/>
              <w:bottom w:w="75" w:type="dxa"/>
              <w:right w:w="75" w:type="dxa"/>
            </w:tcMar>
          </w:tcPr>
          <w:p>
            <w:pPr>
              <w:spacing w:after="40" w:line="245" w:lineRule="auto"/>
            </w:pPr>
            <w:r>
              <w:rPr>
                <w:sz w:val="19"/>
              </w:rPr>
              <w:t>C+</w:t>
            </w:r>
          </w:p>
        </w:tc>
        <w:tc>
          <w:tcPr>
            <w:tcW w:type="dxa" w:w="2880"/>
            <w:vAlign w:val="center"/>
            <w:shd w:fill="F1F3F6"/>
            <w:tcMar>
              <w:top w:w="75" w:type="dxa"/>
              <w:left w:w="75" w:type="dxa"/>
              <w:bottom w:w="75" w:type="dxa"/>
              <w:right w:w="75" w:type="dxa"/>
            </w:tcMar>
          </w:tcPr>
          <w:p>
            <w:pPr>
              <w:spacing w:after="40" w:line="245" w:lineRule="auto"/>
            </w:pPr>
            <w:r>
              <w:rPr>
                <w:sz w:val="19"/>
              </w:rPr>
              <w:t>2,30</w:t>
            </w:r>
          </w:p>
        </w:tc>
      </w:tr>
      <w:tr>
        <w:trPr>
          <w:cantSplit/>
        </w:trPr>
        <w:tc>
          <w:tcPr>
            <w:tcW w:type="dxa" w:w="4320"/>
            <w:vAlign w:val="center"/>
            <w:shd w:fill="FFFFFF"/>
            <w:tcMar>
              <w:top w:w="75" w:type="dxa"/>
              <w:left w:w="75" w:type="dxa"/>
              <w:bottom w:w="75" w:type="dxa"/>
              <w:right w:w="75" w:type="dxa"/>
            </w:tcMar>
          </w:tcPr>
          <w:p>
            <w:pPr>
              <w:spacing w:after="40" w:line="245" w:lineRule="auto"/>
            </w:pPr>
            <w:r>
              <w:rPr>
                <w:sz w:val="19"/>
              </w:rPr>
              <w:t>50 à 54</w:t>
            </w:r>
          </w:p>
        </w:tc>
        <w:tc>
          <w:tcPr>
            <w:tcW w:type="dxa" w:w="2880"/>
            <w:vAlign w:val="center"/>
            <w:shd w:fill="FFFFFF"/>
            <w:tcMar>
              <w:top w:w="75" w:type="dxa"/>
              <w:left w:w="75" w:type="dxa"/>
              <w:bottom w:w="75" w:type="dxa"/>
              <w:right w:w="75" w:type="dxa"/>
            </w:tcMar>
          </w:tcPr>
          <w:p>
            <w:pPr>
              <w:spacing w:after="40" w:line="245" w:lineRule="auto"/>
            </w:pPr>
            <w:r>
              <w:rPr>
                <w:sz w:val="19"/>
              </w:rPr>
              <w:t>C</w:t>
            </w:r>
          </w:p>
        </w:tc>
        <w:tc>
          <w:tcPr>
            <w:tcW w:type="dxa" w:w="2880"/>
            <w:vAlign w:val="center"/>
            <w:shd w:fill="FFFFFF"/>
            <w:tcMar>
              <w:top w:w="75" w:type="dxa"/>
              <w:left w:w="75" w:type="dxa"/>
              <w:bottom w:w="75" w:type="dxa"/>
              <w:right w:w="75" w:type="dxa"/>
            </w:tcMar>
          </w:tcPr>
          <w:p>
            <w:pPr>
              <w:spacing w:after="40" w:line="245" w:lineRule="auto"/>
            </w:pPr>
            <w:r>
              <w:rPr>
                <w:sz w:val="19"/>
              </w:rPr>
              <w:t>2,00</w:t>
            </w:r>
          </w:p>
        </w:tc>
      </w:tr>
      <w:tr>
        <w:trPr>
          <w:cantSplit/>
        </w:trPr>
        <w:tc>
          <w:tcPr>
            <w:tcW w:type="dxa" w:w="4320"/>
            <w:vAlign w:val="center"/>
            <w:shd w:fill="F1F3F6"/>
            <w:tcMar>
              <w:top w:w="75" w:type="dxa"/>
              <w:left w:w="75" w:type="dxa"/>
              <w:bottom w:w="75" w:type="dxa"/>
              <w:right w:w="75" w:type="dxa"/>
            </w:tcMar>
          </w:tcPr>
          <w:p>
            <w:pPr>
              <w:spacing w:after="40" w:line="245" w:lineRule="auto"/>
            </w:pPr>
            <w:r>
              <w:rPr>
                <w:sz w:val="19"/>
              </w:rPr>
              <w:t>45 à 49</w:t>
            </w:r>
          </w:p>
        </w:tc>
        <w:tc>
          <w:tcPr>
            <w:tcW w:type="dxa" w:w="2880"/>
            <w:vAlign w:val="center"/>
            <w:shd w:fill="F1F3F6"/>
            <w:tcMar>
              <w:top w:w="75" w:type="dxa"/>
              <w:left w:w="75" w:type="dxa"/>
              <w:bottom w:w="75" w:type="dxa"/>
              <w:right w:w="75" w:type="dxa"/>
            </w:tcMar>
          </w:tcPr>
          <w:p>
            <w:pPr>
              <w:spacing w:after="40" w:line="245" w:lineRule="auto"/>
            </w:pPr>
            <w:r>
              <w:rPr>
                <w:sz w:val="19"/>
              </w:rPr>
              <w:t>C−</w:t>
            </w:r>
          </w:p>
        </w:tc>
        <w:tc>
          <w:tcPr>
            <w:tcW w:type="dxa" w:w="2880"/>
            <w:vAlign w:val="center"/>
            <w:shd w:fill="F1F3F6"/>
            <w:tcMar>
              <w:top w:w="75" w:type="dxa"/>
              <w:left w:w="75" w:type="dxa"/>
              <w:bottom w:w="75" w:type="dxa"/>
              <w:right w:w="75" w:type="dxa"/>
            </w:tcMar>
          </w:tcPr>
          <w:p>
            <w:pPr>
              <w:spacing w:after="40" w:line="245" w:lineRule="auto"/>
            </w:pPr>
            <w:r>
              <w:rPr>
                <w:sz w:val="19"/>
              </w:rPr>
              <w:t>1,70</w:t>
            </w:r>
          </w:p>
        </w:tc>
      </w:tr>
      <w:tr>
        <w:trPr>
          <w:cantSplit/>
        </w:trPr>
        <w:tc>
          <w:tcPr>
            <w:tcW w:type="dxa" w:w="4320"/>
            <w:vAlign w:val="center"/>
            <w:shd w:fill="FFFFFF"/>
            <w:tcMar>
              <w:top w:w="75" w:type="dxa"/>
              <w:left w:w="75" w:type="dxa"/>
              <w:bottom w:w="75" w:type="dxa"/>
              <w:right w:w="75" w:type="dxa"/>
            </w:tcMar>
          </w:tcPr>
          <w:p>
            <w:pPr>
              <w:spacing w:after="40" w:line="245" w:lineRule="auto"/>
            </w:pPr>
            <w:r>
              <w:rPr>
                <w:sz w:val="19"/>
              </w:rPr>
              <w:t>40 à 44</w:t>
            </w:r>
          </w:p>
        </w:tc>
        <w:tc>
          <w:tcPr>
            <w:tcW w:type="dxa" w:w="2880"/>
            <w:vAlign w:val="center"/>
            <w:shd w:fill="FFFFFF"/>
            <w:tcMar>
              <w:top w:w="75" w:type="dxa"/>
              <w:left w:w="75" w:type="dxa"/>
              <w:bottom w:w="75" w:type="dxa"/>
              <w:right w:w="75" w:type="dxa"/>
            </w:tcMar>
          </w:tcPr>
          <w:p>
            <w:pPr>
              <w:spacing w:after="40" w:line="245" w:lineRule="auto"/>
            </w:pPr>
            <w:r>
              <w:rPr>
                <w:sz w:val="19"/>
              </w:rPr>
              <w:t>D+</w:t>
            </w:r>
          </w:p>
        </w:tc>
        <w:tc>
          <w:tcPr>
            <w:tcW w:type="dxa" w:w="2880"/>
            <w:vAlign w:val="center"/>
            <w:shd w:fill="FFFFFF"/>
            <w:tcMar>
              <w:top w:w="75" w:type="dxa"/>
              <w:left w:w="75" w:type="dxa"/>
              <w:bottom w:w="75" w:type="dxa"/>
              <w:right w:w="75" w:type="dxa"/>
            </w:tcMar>
          </w:tcPr>
          <w:p>
            <w:pPr>
              <w:spacing w:after="40" w:line="245" w:lineRule="auto"/>
            </w:pPr>
            <w:r>
              <w:rPr>
                <w:sz w:val="19"/>
              </w:rPr>
              <w:t>1,30</w:t>
            </w:r>
          </w:p>
        </w:tc>
      </w:tr>
      <w:tr>
        <w:trPr>
          <w:cantSplit/>
        </w:trPr>
        <w:tc>
          <w:tcPr>
            <w:tcW w:type="dxa" w:w="4320"/>
            <w:vAlign w:val="center"/>
            <w:shd w:fill="F1F3F6"/>
            <w:tcMar>
              <w:top w:w="75" w:type="dxa"/>
              <w:left w:w="75" w:type="dxa"/>
              <w:bottom w:w="75" w:type="dxa"/>
              <w:right w:w="75" w:type="dxa"/>
            </w:tcMar>
          </w:tcPr>
          <w:p>
            <w:pPr>
              <w:spacing w:after="40" w:line="245" w:lineRule="auto"/>
            </w:pPr>
            <w:r>
              <w:rPr>
                <w:sz w:val="19"/>
              </w:rPr>
              <w:t>35 à 39</w:t>
            </w:r>
          </w:p>
        </w:tc>
        <w:tc>
          <w:tcPr>
            <w:tcW w:type="dxa" w:w="2880"/>
            <w:vAlign w:val="center"/>
            <w:shd w:fill="F1F3F6"/>
            <w:tcMar>
              <w:top w:w="75" w:type="dxa"/>
              <w:left w:w="75" w:type="dxa"/>
              <w:bottom w:w="75" w:type="dxa"/>
              <w:right w:w="75" w:type="dxa"/>
            </w:tcMar>
          </w:tcPr>
          <w:p>
            <w:pPr>
              <w:spacing w:after="40" w:line="245" w:lineRule="auto"/>
            </w:pPr>
            <w:r>
              <w:rPr>
                <w:sz w:val="19"/>
              </w:rPr>
              <w:t>D−</w:t>
            </w:r>
          </w:p>
        </w:tc>
        <w:tc>
          <w:tcPr>
            <w:tcW w:type="dxa" w:w="2880"/>
            <w:vAlign w:val="center"/>
            <w:shd w:fill="F1F3F6"/>
            <w:tcMar>
              <w:top w:w="75" w:type="dxa"/>
              <w:left w:w="75" w:type="dxa"/>
              <w:bottom w:w="75" w:type="dxa"/>
              <w:right w:w="75" w:type="dxa"/>
            </w:tcMar>
          </w:tcPr>
          <w:p>
            <w:pPr>
              <w:spacing w:after="40" w:line="245" w:lineRule="auto"/>
            </w:pPr>
            <w:r>
              <w:rPr>
                <w:sz w:val="19"/>
              </w:rPr>
              <w:t>1,00</w:t>
            </w:r>
          </w:p>
        </w:tc>
      </w:tr>
      <w:tr>
        <w:trPr>
          <w:cantSplit/>
        </w:trPr>
        <w:tc>
          <w:tcPr>
            <w:tcW w:type="dxa" w:w="4320"/>
            <w:vAlign w:val="center"/>
            <w:shd w:fill="FFFFFF"/>
            <w:tcMar>
              <w:top w:w="75" w:type="dxa"/>
              <w:left w:w="75" w:type="dxa"/>
              <w:bottom w:w="75" w:type="dxa"/>
              <w:right w:w="75" w:type="dxa"/>
            </w:tcMar>
          </w:tcPr>
          <w:p>
            <w:pPr>
              <w:spacing w:after="40" w:line="245" w:lineRule="auto"/>
            </w:pPr>
            <w:r>
              <w:rPr>
                <w:sz w:val="19"/>
              </w:rPr>
              <w:t>30 à 34</w:t>
            </w:r>
          </w:p>
        </w:tc>
        <w:tc>
          <w:tcPr>
            <w:tcW w:type="dxa" w:w="2880"/>
            <w:vAlign w:val="center"/>
            <w:shd w:fill="FFFFFF"/>
            <w:tcMar>
              <w:top w:w="75" w:type="dxa"/>
              <w:left w:w="75" w:type="dxa"/>
              <w:bottom w:w="75" w:type="dxa"/>
              <w:right w:w="75" w:type="dxa"/>
            </w:tcMar>
          </w:tcPr>
          <w:p>
            <w:pPr>
              <w:spacing w:after="40" w:line="245" w:lineRule="auto"/>
            </w:pPr>
            <w:r>
              <w:rPr>
                <w:sz w:val="19"/>
              </w:rPr>
              <w:t>E</w:t>
            </w:r>
          </w:p>
        </w:tc>
        <w:tc>
          <w:tcPr>
            <w:tcW w:type="dxa" w:w="2880"/>
            <w:vAlign w:val="center"/>
            <w:shd w:fill="FFFFFF"/>
            <w:tcMar>
              <w:top w:w="75" w:type="dxa"/>
              <w:left w:w="75" w:type="dxa"/>
              <w:bottom w:w="75" w:type="dxa"/>
              <w:right w:w="75" w:type="dxa"/>
            </w:tcMar>
          </w:tcPr>
          <w:p>
            <w:pPr>
              <w:spacing w:after="40" w:line="245" w:lineRule="auto"/>
            </w:pPr>
            <w:r>
              <w:rPr>
                <w:sz w:val="19"/>
              </w:rPr>
              <w:t>0,00</w:t>
            </w:r>
          </w:p>
        </w:tc>
      </w:tr>
      <w:tr>
        <w:trPr>
          <w:cantSplit/>
        </w:trPr>
        <w:tc>
          <w:tcPr>
            <w:tcW w:type="dxa" w:w="4320"/>
            <w:vAlign w:val="center"/>
            <w:shd w:fill="F1F3F6"/>
            <w:tcMar>
              <w:top w:w="75" w:type="dxa"/>
              <w:left w:w="75" w:type="dxa"/>
              <w:bottom w:w="75" w:type="dxa"/>
              <w:right w:w="75" w:type="dxa"/>
            </w:tcMar>
          </w:tcPr>
          <w:p>
            <w:pPr>
              <w:spacing w:after="40" w:line="245" w:lineRule="auto"/>
            </w:pPr>
            <w:r>
              <w:rPr>
                <w:sz w:val="19"/>
              </w:rPr>
              <w:t>0 à 29</w:t>
            </w:r>
          </w:p>
        </w:tc>
        <w:tc>
          <w:tcPr>
            <w:tcW w:type="dxa" w:w="2880"/>
            <w:vAlign w:val="center"/>
            <w:shd w:fill="F1F3F6"/>
            <w:tcMar>
              <w:top w:w="75" w:type="dxa"/>
              <w:left w:w="75" w:type="dxa"/>
              <w:bottom w:w="75" w:type="dxa"/>
              <w:right w:w="75" w:type="dxa"/>
            </w:tcMar>
          </w:tcPr>
          <w:p>
            <w:pPr>
              <w:spacing w:after="40" w:line="245" w:lineRule="auto"/>
            </w:pPr>
            <w:r>
              <w:rPr>
                <w:sz w:val="19"/>
              </w:rPr>
              <w:t>F</w:t>
            </w:r>
          </w:p>
        </w:tc>
        <w:tc>
          <w:tcPr>
            <w:tcW w:type="dxa" w:w="2880"/>
            <w:vAlign w:val="center"/>
            <w:shd w:fill="F1F3F6"/>
            <w:tcMar>
              <w:top w:w="75" w:type="dxa"/>
              <w:left w:w="75" w:type="dxa"/>
              <w:bottom w:w="75" w:type="dxa"/>
              <w:right w:w="75" w:type="dxa"/>
            </w:tcMar>
          </w:tcPr>
          <w:p>
            <w:pPr>
              <w:spacing w:after="40" w:line="245" w:lineRule="auto"/>
            </w:pPr>
            <w:r>
              <w:rPr>
                <w:sz w:val="19"/>
              </w:rPr>
              <w:t>0,00</w:t>
            </w:r>
          </w:p>
        </w:tc>
      </w:tr>
    </w:tbl>
    <w:p>
      <w:pPr>
        <w:pStyle w:val="Heading2"/>
      </w:pPr>
      <w:r>
        <w:t>RG06 Admission annuelle</w:t>
      </w:r>
    </w:p>
    <w:p>
      <w:r>
        <w:t>L’admission exige simultanément une MGP annuelle d’au moins 2/4, une note d’au moins 35/100 pour chaque UE du niveau et aucune mention EL maintenue. Le minimum de 35 s’applique à l’UE, pas à chaque matière.</w:t>
      </w:r>
    </w:p>
    <w:p>
      <w:pPr>
        <w:pStyle w:val="Heading2"/>
      </w:pPr>
      <w:r>
        <w:t>RG07 Priorité de EL</w:t>
      </w:r>
    </w:p>
    <w:p>
      <w:r>
        <w:t>Une seule UE portant EL entraîne l’échec et bloque l’admission, quelle que soit la MGP. EL est distinct de zéro, de 34 et d’une donnée manquante. Pour la MGP, l’UE contribue 0 point avec ses crédits inclus dans le total. EL reste inscrit sur cette UE et impose sa reprise l’année suivante.</w:t>
      </w:r>
    </w:p>
    <w:p>
      <w:r>
        <w:t>Exemple : deux matières de même crédit à 30 et 70 donnent une UE à 50. La matière à 30 ne bloque pas seule l’admission, mais reste concernée par le seuil de rattrapage de SN. Une UE à 34 bloque l’admission même si la MGP dépasse 2. Une note de 34 reste une note valide à saisir et à publier.</w:t>
      </w:r>
    </w:p>
    <w:p>
      <w:r>
        <w:t>Une donnée manquante produit un résultat incomplet. En reprise du niveau, conserver les UE à 50 ou plus et recomposer toutes les matières des autres UE, y compris EL. Les modalités de transfert et de compensation de crédits hors de ces règles restent à préciser (AR04).</w:t>
      </w:r>
    </w:p>
    <w:p>
      <w:pPr>
        <w:pStyle w:val="Heading1"/>
        <w:pageBreakBefore/>
      </w:pPr>
      <w:r>
        <w:t>7 Requêtes et rattrapages</w:t>
      </w:r>
    </w:p>
    <w:p>
      <w:pPr>
        <w:pStyle w:val="Heading2"/>
      </w:pPr>
      <w:r>
        <w:t>EF11 Soumission et suivi</w:t>
      </w:r>
    </w:p>
    <w:p>
      <w:r>
        <w:t>L’étudiant choisit la matière, indique l’évaluation si elle existe et décrit son problème. Le lien à une note est facultatif. Une demande pour absence exige au moins une preuve. Le dépôt est permis pendant 48 heures consécutives après publication, week-ends et jours fériés compris. La republication d’une note corrigée ouvre un nouveau délai de 48 heures concernant cette note. Proposition de réalisation : accepter un dépôt horodaté au plus tard à publication + 48 h; refuser au-delà, selon l’heure serveur.</w:t>
      </w:r>
    </w:p>
    <w:p>
      <w:pPr>
        <w:pStyle w:val="Heading2"/>
      </w:pPr>
      <w:r>
        <w:t>EF12 Décision de l’enseignant</w:t>
      </w:r>
    </w:p>
    <w:p>
      <w:r>
        <w:t>L’enseignant consulte la requête, ses pièces et les résultats de l’étudiant dans son périmètre. Il motive sa décision. Le système présente le résultat brut et arrondi, les notes présentes ou manquantes, l’éligibilité et les simulations possibles. Ces informations ne modifient jamais une note sans son action.</w:t>
      </w:r>
    </w:p>
    <w:p>
      <w:pPr>
        <w:pStyle w:val="Heading2"/>
      </w:pPr>
      <w:r>
        <w:t>RG08 CC et TP déjà évalués</w:t>
      </w:r>
    </w:p>
    <w:p>
      <w:r>
        <w:t>Les notes de CC et TP déjà obtenues restent inchangées. Une nouvelle composition n’est possible que sur requête approuvée, lorsque l’enseignant organise l’évaluation correspondante. Le remplacement concerne uniquement le type d’évaluation autorisé.</w:t>
      </w:r>
    </w:p>
    <w:p>
      <w:pPr>
        <w:pStyle w:val="Heading2"/>
      </w:pPr>
      <w:r>
        <w:t>RG09 Accès au rattrapage de SN</w:t>
      </w:r>
    </w:p>
    <w:p>
      <w:r>
        <w:t>Le seuil concerne chaque matière ou EC : son résultat cumulé pondéré, après plafond, doit être inférieur à 50. Un résultat de 49,2 est retenu à 50 et exclut le rattrapage de SN; un résultat de 49 y est éligible. Le seuil ne porte pas sur la moyenne de l’UE.</w:t>
      </w:r>
    </w:p>
    <w:p>
      <w:pPr>
        <w:pStyle w:val="Heading2"/>
      </w:pPr>
      <w:r>
        <w:t>RG10 Remplacement définitif</w:t>
      </w:r>
    </w:p>
    <w:p>
      <w:r>
        <w:t>La note de rattrapage remplace la SN d’origine avec son pourcentage initial, même si elle est plus basse. CC et TP sont conservés sauf exception distincte autorisée. Le système ne prend pas le maximum et ne compte pas les deux SN. Les anciennes valeurs sont historisées.</w:t>
      </w:r>
    </w:p>
    <w:p>
      <w:pPr>
        <w:pStyle w:val="Heading2"/>
      </w:pPr>
      <w:r>
        <w:t>RG11 Absence au rattrapage</w:t>
      </w:r>
    </w:p>
    <w:p>
      <w:r>
        <w:t>L’absence au rattrapage entraîne EL sur la matière et son UE, à reprendre l’année suivante. Une requête avec preuve permet à l’enseignant d’examiner la situation, d’attribuer 0 à la composante ou de rejeter la demande; le rejet maintient EL. La limite confirmée est un seul rattrapage par EC et par année académique : aucune décision de requête ne peut ouvrir un deuxième rattrapage après cette absence. Cette limite remplace l’ancienne possibilité de nouvelles tentatives successives.</w:t>
      </w:r>
    </w:p>
    <w:p>
      <w:r>
        <w:t>Après attribution autorisée de 0 ou correction d’une note validée, recalculer les résultats et réexaminer toutes les causes de EL. Une autre cause éliminatoire maintenue interdit l’admission. Une requête renouvelée dans les 48 heures d’une republication ne crée pas de droit à une deuxième tentative. AR03 ne concerne plus que le libellé obligatoire ou facultatif de l’éligibilité.</w:t>
      </w:r>
    </w:p>
    <w:p>
      <w:pPr>
        <w:pStyle w:val="Heading1"/>
        <w:pageBreakBefore/>
      </w:pPr>
      <w:r>
        <w:t>8 Publication et construction du bulletin</w:t>
      </w:r>
    </w:p>
    <w:p>
      <w:pPr>
        <w:pStyle w:val="Heading2"/>
      </w:pPr>
      <w:r>
        <w:t>EF13 Préparation et publication</w:t>
      </w:r>
    </w:p>
    <w:p>
      <w:r>
        <w:t>L’enseignant saisit, vérifie et valide. L’agent consulte les résultats prêts à publier. Le système contrôle les notes requises, les plans, les autorisations et la cohérence des inscriptions; une donnée attendue non résolue bloque le résultat officiel concerné. EL, décision explicite, peut être publié comme tel.</w:t>
      </w:r>
    </w:p>
    <w:p>
      <w:r>
        <w:t>L’agent déclenche la publication. Le système fige les notes sources, les poids, les crédits, les résultats bruts et arrondis, les grades et les versions des règles. La consultation ultérieure ne relance pas le calcul avec de nouvelles pondérations.</w:t>
      </w:r>
    </w:p>
    <w:p>
      <w:pPr>
        <w:pStyle w:val="Heading2"/>
      </w:pPr>
      <w:r>
        <w:t>EF14 Liste de rattrapage</w:t>
      </w:r>
    </w:p>
    <w:p>
      <w:r>
        <w:t>Après publication des notes, la liste des candidats est affichée et accessible aux enseignants concernés. Elle identifie l’étudiant, la classe, l’UE, la matière, la SN d’origine, la note matière arrondie et l’état du dossier. Elle provient des candidatures associées à la publication, sans classe ListeRattrapage autonome.</w:t>
      </w:r>
    </w:p>
    <w:p>
      <w:pPr>
        <w:pStyle w:val="Heading2"/>
      </w:pPr>
      <w:r>
        <w:t>EF15 Bulletin individuel</w:t>
      </w:r>
    </w:p>
    <w:p>
      <w:r>
        <w:t>Le bulletin semestriel ou annuel contient l’identification institutionnelle, le matricule, le nom, l’année, la classe et la période. Il regroupe les UE et leurs matières avec codes, intitulés, crédits, notes retenues, pondérations, résultats, grades et points. Il présente les MGP utiles, la décision d’admission, la session, la date et la version.</w:t>
      </w:r>
    </w:p>
    <w:p>
      <w:r>
        <w:t>Les mentions MANQUANTE, NON RETENUE, NON PRÉVUE et EL sont explicites. Une UE EL affiche EL et 0 point de MGP, sans note de 0/100 substituée. Les preuves privées ne figurent jamais sur le bulletin. Les crédits de pondération et les crédits acquis ou transférables sont distingués.</w:t>
      </w:r>
    </w:p>
    <w:p>
      <w:pPr>
        <w:pStyle w:val="Heading2"/>
      </w:pPr>
      <w:r>
        <w:t>EF16 Republication et historique</w:t>
      </w:r>
    </w:p>
    <w:p>
      <w:r>
        <w:t>Toute correction, y compris décidée par le jury, est saisie et validée par l’enseignant; l’agent republie ensuite. Les versions précédentes, anciennes et nouvelles notes, motifs, auteurs et dates sont conservés. La nouvelle publication actualise la liste de rattrapage et ouvre 48 heures de requête sur la note corrigée, sans remettre le compteur de rattrapage à zéro.</w:t>
      </w:r>
    </w:p>
    <w:p>
      <w:pPr>
        <w:pStyle w:val="Heading2"/>
      </w:pPr>
      <w:r>
        <w:t>Cycle proposé</w:t>
      </w:r>
    </w:p>
    <w:p>
      <w:r>
        <w:t>Note : BROUILLON → VALIDÉE; une correction crée une nouvelle version à valider. Requête : SOUMISE → EN TRAITEMENT → DÉCIDÉE, avec l’action retenue; une autorisation peut rester EN ATTENTE DE COMPOSITION. Publication : PRÉPARÉE → PUBLIÉE; une correction crée une nouvelle publication.</w:t>
      </w:r>
    </w:p>
    <w:p>
      <w:pPr>
        <w:pStyle w:val="Heading1"/>
        <w:pageBreakBefore/>
      </w:pPr>
      <w:r>
        <w:t>9 Notifications et interfaces</w:t>
      </w:r>
    </w:p>
    <w:p>
      <w:pPr>
        <w:pStyle w:val="Heading2"/>
      </w:pPr>
      <w:r>
        <w:t>EF17 Rappels ouvrables</w:t>
      </w:r>
    </w:p>
    <w:p>
      <w:r>
        <w:t>Le premier rappel est envoyé après deux jours ouvrables suivant l’évaluation. Il est renouvelé chaque jour ouvrable tant que toutes les notes attendues ne sont pas saisies et définitivement validées par l’enseignant. L’arrêt ne dépend pas de la publication par l’agent.</w:t>
      </w:r>
    </w:p>
    <w:p>
      <w:r>
        <w:t>Proposition de réalisation : calendrier du lundi au vendredi, hors jours fériés et fermetures configurées; le jour de l’évaluation n’est pas compté. Ainsi, une évaluation vendredi est rappelée mardi si lundi et mardi sont ouvrables. L’heure et le fuseau sont des paramètres de déploiement, pas une hypothèse cachée.</w:t>
      </w:r>
    </w:p>
    <w:p>
      <w:pPr>
        <w:pStyle w:val="Heading2"/>
      </w:pPr>
      <w:r>
        <w:t>EF18 Suivi des notifications</w:t>
      </w:r>
    </w:p>
    <w:p>
      <w:r>
        <w:t>Le système conserve destinataire, origine, date d’envoi et lecture. Il évite les doublons d’un même rappel pour une évaluation et un jour ouvrable. Une relance de validation reste nécessaire lorsque les notes sont toutes saisies mais non toutes validées. Dépôt et décision de requête donnent lieu à une notification interne.</w:t>
      </w:r>
    </w:p>
    <w:p>
      <w:pPr>
        <w:pStyle w:val="Heading2"/>
      </w:pPr>
      <w:r>
        <w:t>Écrans attendus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64"/>
      </w:tblGrid>
      <w:tr>
        <w:trPr>
          <w:cantSplit/>
          <w:tblHeader/>
        </w:trPr>
        <w:tc>
          <w:tcPr>
            <w:tcW w:type="dxa" w:w="2016"/>
            <w:vAlign w:val="center"/>
            <w:shd w:fill="1B2942"/>
            <w:tcMar>
              <w:top w:w="75" w:type="dxa"/>
              <w:left w:w="75" w:type="dxa"/>
              <w:bottom w:w="75" w:type="dxa"/>
              <w:right w:w="75" w:type="dxa"/>
            </w:tcMar>
          </w:tcPr>
          <w:p>
            <w:pPr>
              <w:spacing w:after="40" w:line="245" w:lineRule="auto"/>
            </w:pPr>
            <w:r>
              <w:rPr>
                <w:b/>
                <w:color w:val="FFFFFF"/>
                <w:sz w:val="19"/>
              </w:rPr>
              <w:t>Espace</w:t>
            </w:r>
          </w:p>
        </w:tc>
        <w:tc>
          <w:tcPr>
            <w:tcW w:type="dxa" w:w="8064"/>
            <w:vAlign w:val="center"/>
            <w:shd w:fill="1B2942"/>
            <w:tcMar>
              <w:top w:w="75" w:type="dxa"/>
              <w:left w:w="75" w:type="dxa"/>
              <w:bottom w:w="75" w:type="dxa"/>
              <w:right w:w="75" w:type="dxa"/>
            </w:tcMar>
          </w:tcPr>
          <w:p>
            <w:pPr>
              <w:spacing w:after="40" w:line="245" w:lineRule="auto"/>
            </w:pPr>
            <w:r>
              <w:rPr>
                <w:b/>
                <w:color w:val="FFFFFF"/>
                <w:sz w:val="19"/>
              </w:rPr>
              <w:t>Écrans essentiels</w:t>
            </w:r>
          </w:p>
        </w:tc>
      </w:tr>
      <w:tr>
        <w:trPr>
          <w:cantSplit/>
        </w:trPr>
        <w:tc>
          <w:tcPr>
            <w:tcW w:type="dxa" w:w="2016"/>
            <w:vAlign w:val="center"/>
            <w:shd w:fill="FFFFFF"/>
            <w:tcMar>
              <w:top w:w="75" w:type="dxa"/>
              <w:left w:w="75" w:type="dxa"/>
              <w:bottom w:w="75" w:type="dxa"/>
              <w:right w:w="75" w:type="dxa"/>
            </w:tcMar>
          </w:tcPr>
          <w:p>
            <w:pPr>
              <w:spacing w:after="40" w:line="245" w:lineRule="auto"/>
            </w:pPr>
            <w:r>
              <w:rPr>
                <w:sz w:val="19"/>
              </w:rPr>
              <w:t>Étudiant</w:t>
            </w:r>
          </w:p>
        </w:tc>
        <w:tc>
          <w:tcPr>
            <w:tcW w:type="dxa" w:w="8064"/>
            <w:vAlign w:val="center"/>
            <w:shd w:fill="FFFFFF"/>
            <w:tcMar>
              <w:top w:w="75" w:type="dxa"/>
              <w:left w:w="75" w:type="dxa"/>
              <w:bottom w:w="75" w:type="dxa"/>
              <w:right w:w="75" w:type="dxa"/>
            </w:tcMar>
          </w:tcPr>
          <w:p>
            <w:pPr>
              <w:spacing w:after="40" w:line="245" w:lineRule="auto"/>
            </w:pPr>
            <w:r>
              <w:rPr>
                <w:sz w:val="19"/>
              </w:rPr>
              <w:t>Connexion, inscriptions et choix, notes, bulletin, dépôt de requête et preuve, suivi des décisions.</w:t>
            </w:r>
          </w:p>
        </w:tc>
      </w:tr>
      <w:tr>
        <w:trPr>
          <w:cantSplit/>
        </w:trPr>
        <w:tc>
          <w:tcPr>
            <w:tcW w:type="dxa" w:w="2016"/>
            <w:vAlign w:val="center"/>
            <w:shd w:fill="F1F3F6"/>
            <w:tcMar>
              <w:top w:w="75" w:type="dxa"/>
              <w:left w:w="75" w:type="dxa"/>
              <w:bottom w:w="75" w:type="dxa"/>
              <w:right w:w="75" w:type="dxa"/>
            </w:tcMar>
          </w:tcPr>
          <w:p>
            <w:pPr>
              <w:spacing w:after="40" w:line="245" w:lineRule="auto"/>
            </w:pPr>
            <w:r>
              <w:rPr>
                <w:sz w:val="19"/>
              </w:rPr>
              <w:t>Enseignant</w:t>
            </w:r>
          </w:p>
        </w:tc>
        <w:tc>
          <w:tcPr>
            <w:tcW w:type="dxa" w:w="8064"/>
            <w:vAlign w:val="center"/>
            <w:shd w:fill="F1F3F6"/>
            <w:tcMar>
              <w:top w:w="75" w:type="dxa"/>
              <w:left w:w="75" w:type="dxa"/>
              <w:bottom w:w="75" w:type="dxa"/>
              <w:right w:w="75" w:type="dxa"/>
            </w:tcMar>
          </w:tcPr>
          <w:p>
            <w:pPr>
              <w:spacing w:after="40" w:line="245" w:lineRule="auto"/>
            </w:pPr>
            <w:r>
              <w:rPr>
                <w:sz w:val="19"/>
              </w:rPr>
              <w:t>Affectations et effectifs, évaluations, plan et poids, saisie, validation, requêtes, aide à la décision, liste de rattrapage.</w:t>
            </w:r>
          </w:p>
        </w:tc>
      </w:tr>
      <w:tr>
        <w:trPr>
          <w:cantSplit/>
        </w:trPr>
        <w:tc>
          <w:tcPr>
            <w:tcW w:type="dxa" w:w="2016"/>
            <w:vAlign w:val="center"/>
            <w:shd w:fill="FFFFFF"/>
            <w:tcMar>
              <w:top w:w="75" w:type="dxa"/>
              <w:left w:w="75" w:type="dxa"/>
              <w:bottom w:w="75" w:type="dxa"/>
              <w:right w:w="75" w:type="dxa"/>
            </w:tcMar>
          </w:tcPr>
          <w:p>
            <w:pPr>
              <w:spacing w:after="40" w:line="245" w:lineRule="auto"/>
            </w:pPr>
            <w:r>
              <w:rPr>
                <w:sz w:val="19"/>
              </w:rPr>
              <w:t>Agent</w:t>
            </w:r>
          </w:p>
        </w:tc>
        <w:tc>
          <w:tcPr>
            <w:tcW w:type="dxa" w:w="8064"/>
            <w:vAlign w:val="center"/>
            <w:shd w:fill="FFFFFF"/>
            <w:tcMar>
              <w:top w:w="75" w:type="dxa"/>
              <w:left w:w="75" w:type="dxa"/>
              <w:bottom w:w="75" w:type="dxa"/>
              <w:right w:w="75" w:type="dxa"/>
            </w:tcMar>
          </w:tcPr>
          <w:p>
            <w:pPr>
              <w:spacing w:after="40" w:line="245" w:lineRule="auto"/>
            </w:pPr>
            <w:r>
              <w:rPr>
                <w:sz w:val="19"/>
              </w:rPr>
              <w:t>Structure et programmes, comptes, inscriptions, affectations, suivi des validations, aperçu et publication, historique.</w:t>
            </w:r>
          </w:p>
        </w:tc>
      </w:tr>
    </w:tbl>
    <w:p>
      <w:pPr>
        <w:pStyle w:val="Heading2"/>
      </w:pPr>
      <w:r>
        <w:t>Identité visuelle et utilisation</w:t>
      </w:r>
    </w:p>
    <w:p>
      <w:r>
        <w:t>L’identité GNU conserve le fond papier, le bleu encre et le rouge réservé aux actions ou corrections. Fraunces sert aux titres, IBM Plex Sans aux textes et IBM Plex Mono aux codes et nombres. Les statuts ont un libellé : la couleur seule ne porte jamais l’information. Les justificatifs et détails techniques ne sont pas exposés dans les parcours publics.</w:t>
      </w:r>
    </w:p>
    <w:p>
      <w:r>
        <w:t>Chaque écran indique l’année, la classe, la matière et la session actives lorsque ces informations déterminent l’action. Les saisies affichent les erreurs près des champs. Une publication présente un récapitulatif avant confirmation. La navigation doit rester utilisable sur mobile et sur écran large.</w:t>
      </w:r>
    </w:p>
    <w:p>
      <w:pPr>
        <w:pStyle w:val="Heading1"/>
        <w:pageBreakBefore/>
      </w:pPr>
      <w:r>
        <w:t>10 Exigences de qualité et de sécurité</w:t>
      </w:r>
    </w:p>
    <w:p>
      <w:pPr>
        <w:pStyle w:val="Heading2"/>
      </w:pPr>
      <w:r>
        <w:t>EQ01 Confidentialité</w:t>
      </w:r>
    </w:p>
    <w:p>
      <w:r>
        <w:t>Les mots de passe sont hachés et les communications protégées en déploiement. L’API contrôle rôle, affectation et propriété des données. Les pièces justificatives sont privées et téléchargées seulement après contrôle d’accès. Les limites de taille, types admis et durée de conservation seront fixées avant mise en service.</w:t>
      </w:r>
    </w:p>
    <w:p>
      <w:pPr>
        <w:pStyle w:val="Heading2"/>
      </w:pPr>
      <w:r>
        <w:t>EQ02 Traçabilité</w:t>
      </w:r>
    </w:p>
    <w:p>
      <w:r>
        <w:t>Conserver auteur ou origine système, date, objet concerné, valeur avant et après, et motif des modifications sensibles. Tracer les validations, décisions, substitutions, publications et changements de poids. Le journal ne contient ni mots de passe ni jetons d’accès.</w:t>
      </w:r>
    </w:p>
    <w:p>
      <w:pPr>
        <w:pStyle w:val="Heading2"/>
      </w:pPr>
      <w:r>
        <w:t>EQ03 Exactitude</w:t>
      </w:r>
    </w:p>
    <w:p>
      <w:r>
        <w:t>Les calculs utilisent une arithmétique décimale maîtrisée. Les plans, crédits et barèmes sont versionnés. Une opération échoue entièrement si ses contrôles échouent; aucune publication partielle incohérente n’est exposée. Les notes restent explicables à partir de leurs sources.</w:t>
      </w:r>
    </w:p>
    <w:p>
      <w:pPr>
        <w:pStyle w:val="Heading2"/>
      </w:pPr>
      <w:r>
        <w:t>EQ04 Fiabilité</w:t>
      </w:r>
    </w:p>
    <w:p>
      <w:r>
        <w:t>Les publications et rappels résistent aux relances sans créer de doublons. Deux modifications concurrentes ne s’écrasent pas silencieusement. Une interruption de connexion ne doit pas afficher une réussite avant confirmation du serveur. Les erreurs sont compréhensibles et n’exposent pas de détails sensibles.</w:t>
      </w:r>
    </w:p>
    <w:p>
      <w:pPr>
        <w:pStyle w:val="Heading2"/>
      </w:pPr>
      <w:r>
        <w:t>EQ05 Sauvegarde et exploitation</w:t>
      </w:r>
    </w:p>
    <w:p>
      <w:r>
        <w:t>Prévoir des sauvegardes de données et de pièces avec contrôle d’accès, ainsi qu’un exercice de restauration avant mise en service. L’hébergement, la rétention, la fréquence et les objectifs de reprise sont des décisions d’exploitation à renseigner; aucune capacité ou disponibilité chiffrée n’est prétendue validée.</w:t>
      </w:r>
    </w:p>
    <w:p>
      <w:pPr>
        <w:pStyle w:val="Heading2"/>
      </w:pPr>
      <w:r>
        <w:t>EQ06 Architecture et maintenabilité</w:t>
      </w:r>
    </w:p>
    <w:p>
      <w:r>
        <w:t>Flutter appelle l’API Laravel; il ne se connecte pas directement à PostgreSQL. Les règles de calcul et d’autorisation sont centralisées côté serveur. Les versions des technologies et bibliothèques seront choisies au démarrage technique. Les contrats d’API et le schéma physique suivront les tables fournies.</w:t>
      </w:r>
    </w:p>
    <w:p>
      <w:pPr>
        <w:pStyle w:val="Heading2"/>
      </w:pPr>
      <w:r>
        <w:t>Recette de qualité proposée</w:t>
      </w:r>
    </w:p>
    <w:p>
      <w:r>
        <w:t>Vérifier les refus d’accès croisés, l’absence de fuite des pièces, les limites numériques, les doublons, la concurrence, le recalcul déterministe et la restauration. Mesurer les temps de réponse et de génération sur un volume représentatif fourni avec les tables; fixer les seuils d’acceptation de performance avant déploiement.</w:t>
      </w:r>
    </w:p>
    <w:p>
      <w:pPr>
        <w:pStyle w:val="Heading1"/>
        <w:pageBreakBefore/>
      </w:pPr>
      <w:r>
        <w:t>11 Critères de recette fonctionnelle</w:t>
      </w:r>
    </w:p>
    <w:p>
      <w:r>
        <w:t>Les scénarios suivants définissent le résultat attendu. Ils constituent des critères à exécuter sur l’application future, pas des tests déjà réalisés sur un logiciel.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816"/>
        <w:gridCol w:w="4752"/>
      </w:tblGrid>
      <w:tr>
        <w:trPr>
          <w:cantSplit/>
          <w:tblHeader/>
        </w:trPr>
        <w:tc>
          <w:tcPr>
            <w:tcW w:type="dxa" w:w="1512"/>
            <w:vAlign w:val="center"/>
            <w:shd w:fill="1B2942"/>
            <w:tcMar>
              <w:top w:w="75" w:type="dxa"/>
              <w:left w:w="75" w:type="dxa"/>
              <w:bottom w:w="75" w:type="dxa"/>
              <w:right w:w="75" w:type="dxa"/>
            </w:tcMar>
          </w:tcPr>
          <w:p>
            <w:pPr>
              <w:spacing w:after="40" w:line="245" w:lineRule="auto"/>
            </w:pPr>
            <w:r>
              <w:rPr>
                <w:b/>
                <w:color w:val="FFFFFF"/>
                <w:sz w:val="19"/>
              </w:rPr>
              <w:t>Test</w:t>
            </w:r>
          </w:p>
        </w:tc>
        <w:tc>
          <w:tcPr>
            <w:tcW w:type="dxa" w:w="3816"/>
            <w:vAlign w:val="center"/>
            <w:shd w:fill="1B2942"/>
            <w:tcMar>
              <w:top w:w="75" w:type="dxa"/>
              <w:left w:w="75" w:type="dxa"/>
              <w:bottom w:w="75" w:type="dxa"/>
              <w:right w:w="75" w:type="dxa"/>
            </w:tcMar>
          </w:tcPr>
          <w:p>
            <w:pPr>
              <w:spacing w:after="40" w:line="245" w:lineRule="auto"/>
            </w:pPr>
            <w:r>
              <w:rPr>
                <w:b/>
                <w:color w:val="FFFFFF"/>
                <w:sz w:val="19"/>
              </w:rPr>
              <w:t>Situation</w:t>
            </w:r>
          </w:p>
        </w:tc>
        <w:tc>
          <w:tcPr>
            <w:tcW w:type="dxa" w:w="4752"/>
            <w:vAlign w:val="center"/>
            <w:shd w:fill="1B2942"/>
            <w:tcMar>
              <w:top w:w="75" w:type="dxa"/>
              <w:left w:w="75" w:type="dxa"/>
              <w:bottom w:w="75" w:type="dxa"/>
              <w:right w:w="75" w:type="dxa"/>
            </w:tcMar>
          </w:tcPr>
          <w:p>
            <w:pPr>
              <w:spacing w:after="40" w:line="245" w:lineRule="auto"/>
            </w:pPr>
            <w:r>
              <w:rPr>
                <w:b/>
                <w:color w:val="FFFFFF"/>
                <w:sz w:val="19"/>
              </w:rPr>
              <w:t>Résultat attendu</w:t>
            </w:r>
          </w:p>
        </w:tc>
      </w:tr>
      <w:tr>
        <w:trPr>
          <w:cantSplit/>
        </w:trPr>
        <w:tc>
          <w:tcPr>
            <w:tcW w:type="dxa" w:w="1512"/>
            <w:vAlign w:val="center"/>
            <w:shd w:fill="FFFFFF"/>
            <w:tcMar>
              <w:top w:w="75" w:type="dxa"/>
              <w:left w:w="75" w:type="dxa"/>
              <w:bottom w:w="75" w:type="dxa"/>
              <w:right w:w="75" w:type="dxa"/>
            </w:tcMar>
          </w:tcPr>
          <w:p>
            <w:pPr>
              <w:spacing w:after="40" w:line="245" w:lineRule="auto"/>
            </w:pPr>
            <w:r>
              <w:rPr>
                <w:sz w:val="19"/>
              </w:rPr>
              <w:t>T01 EF02</w:t>
            </w:r>
          </w:p>
        </w:tc>
        <w:tc>
          <w:tcPr>
            <w:tcW w:type="dxa" w:w="3816"/>
            <w:vAlign w:val="center"/>
            <w:shd w:fill="FFFFFF"/>
            <w:tcMar>
              <w:top w:w="75" w:type="dxa"/>
              <w:left w:w="75" w:type="dxa"/>
              <w:bottom w:w="75" w:type="dxa"/>
              <w:right w:w="75" w:type="dxa"/>
            </w:tcMar>
          </w:tcPr>
          <w:p>
            <w:pPr>
              <w:spacing w:after="40" w:line="245" w:lineRule="auto"/>
            </w:pPr>
            <w:r>
              <w:rPr>
                <w:sz w:val="19"/>
              </w:rPr>
              <w:t>Étudiant A ouvre le bulletin de B</w:t>
            </w:r>
          </w:p>
        </w:tc>
        <w:tc>
          <w:tcPr>
            <w:tcW w:type="dxa" w:w="4752"/>
            <w:vAlign w:val="center"/>
            <w:shd w:fill="FFFFFF"/>
            <w:tcMar>
              <w:top w:w="75" w:type="dxa"/>
              <w:left w:w="75" w:type="dxa"/>
              <w:bottom w:w="75" w:type="dxa"/>
              <w:right w:w="75" w:type="dxa"/>
            </w:tcMar>
          </w:tcPr>
          <w:p>
            <w:pPr>
              <w:spacing w:after="40" w:line="245" w:lineRule="auto"/>
            </w:pPr>
            <w:r>
              <w:rPr>
                <w:sz w:val="19"/>
              </w:rPr>
              <w:t>Accès refusé, aucune donnée de B exposée.</w:t>
            </w:r>
          </w:p>
        </w:tc>
      </w:tr>
      <w:tr>
        <w:trPr>
          <w:cantSplit/>
        </w:trPr>
        <w:tc>
          <w:tcPr>
            <w:tcW w:type="dxa" w:w="1512"/>
            <w:vAlign w:val="center"/>
            <w:shd w:fill="F1F3F6"/>
            <w:tcMar>
              <w:top w:w="75" w:type="dxa"/>
              <w:left w:w="75" w:type="dxa"/>
              <w:bottom w:w="75" w:type="dxa"/>
              <w:right w:w="75" w:type="dxa"/>
            </w:tcMar>
          </w:tcPr>
          <w:p>
            <w:pPr>
              <w:spacing w:after="40" w:line="245" w:lineRule="auto"/>
            </w:pPr>
            <w:r>
              <w:rPr>
                <w:sz w:val="19"/>
              </w:rPr>
              <w:t>T02 RG01</w:t>
            </w:r>
          </w:p>
        </w:tc>
        <w:tc>
          <w:tcPr>
            <w:tcW w:type="dxa" w:w="3816"/>
            <w:vAlign w:val="center"/>
            <w:shd w:fill="F1F3F6"/>
            <w:tcMar>
              <w:top w:w="75" w:type="dxa"/>
              <w:left w:w="75" w:type="dxa"/>
              <w:bottom w:w="75" w:type="dxa"/>
              <w:right w:w="75" w:type="dxa"/>
            </w:tcMar>
          </w:tcPr>
          <w:p>
            <w:pPr>
              <w:spacing w:after="40" w:line="245" w:lineRule="auto"/>
            </w:pPr>
            <w:r>
              <w:rPr>
                <w:sz w:val="19"/>
              </w:rPr>
              <w:t>Ajout d’une troisième matière à une UE</w:t>
            </w:r>
          </w:p>
        </w:tc>
        <w:tc>
          <w:tcPr>
            <w:tcW w:type="dxa" w:w="4752"/>
            <w:vAlign w:val="center"/>
            <w:shd w:fill="F1F3F6"/>
            <w:tcMar>
              <w:top w:w="75" w:type="dxa"/>
              <w:left w:w="75" w:type="dxa"/>
              <w:bottom w:w="75" w:type="dxa"/>
              <w:right w:w="75" w:type="dxa"/>
            </w:tcMar>
          </w:tcPr>
          <w:p>
            <w:pPr>
              <w:spacing w:after="40" w:line="245" w:lineRule="auto"/>
            </w:pPr>
            <w:r>
              <w:rPr>
                <w:sz w:val="19"/>
              </w:rPr>
              <w:t>Opération refusée.</w:t>
            </w:r>
          </w:p>
        </w:tc>
      </w:tr>
      <w:tr>
        <w:trPr>
          <w:cantSplit/>
        </w:trPr>
        <w:tc>
          <w:tcPr>
            <w:tcW w:type="dxa" w:w="1512"/>
            <w:vAlign w:val="center"/>
            <w:shd w:fill="FFFFFF"/>
            <w:tcMar>
              <w:top w:w="75" w:type="dxa"/>
              <w:left w:w="75" w:type="dxa"/>
              <w:bottom w:w="75" w:type="dxa"/>
              <w:right w:w="75" w:type="dxa"/>
            </w:tcMar>
          </w:tcPr>
          <w:p>
            <w:pPr>
              <w:spacing w:after="40" w:line="245" w:lineRule="auto"/>
            </w:pPr>
            <w:r>
              <w:rPr>
                <w:sz w:val="19"/>
              </w:rPr>
              <w:t>T03 RG02</w:t>
            </w:r>
          </w:p>
        </w:tc>
        <w:tc>
          <w:tcPr>
            <w:tcW w:type="dxa" w:w="3816"/>
            <w:vAlign w:val="center"/>
            <w:shd w:fill="FFFFFF"/>
            <w:tcMar>
              <w:top w:w="75" w:type="dxa"/>
              <w:left w:w="75" w:type="dxa"/>
              <w:bottom w:w="75" w:type="dxa"/>
              <w:right w:w="75" w:type="dxa"/>
            </w:tcMar>
          </w:tcPr>
          <w:p>
            <w:pPr>
              <w:spacing w:after="40" w:line="245" w:lineRule="auto"/>
            </w:pPr>
            <w:r>
              <w:rPr>
                <w:sz w:val="19"/>
              </w:rPr>
              <w:t>Poids retenus totalisant 90 %</w:t>
            </w:r>
          </w:p>
        </w:tc>
        <w:tc>
          <w:tcPr>
            <w:tcW w:type="dxa" w:w="4752"/>
            <w:vAlign w:val="center"/>
            <w:shd w:fill="FFFFFF"/>
            <w:tcMar>
              <w:top w:w="75" w:type="dxa"/>
              <w:left w:w="75" w:type="dxa"/>
              <w:bottom w:w="75" w:type="dxa"/>
              <w:right w:w="75" w:type="dxa"/>
            </w:tcMar>
          </w:tcPr>
          <w:p>
            <w:pPr>
              <w:spacing w:after="40" w:line="245" w:lineRule="auto"/>
            </w:pPr>
            <w:r>
              <w:rPr>
                <w:sz w:val="19"/>
              </w:rPr>
              <w:t>Plan non activable; écart expliqué.</w:t>
            </w:r>
          </w:p>
        </w:tc>
      </w:tr>
      <w:tr>
        <w:trPr>
          <w:cantSplit/>
        </w:trPr>
        <w:tc>
          <w:tcPr>
            <w:tcW w:type="dxa" w:w="1512"/>
            <w:vAlign w:val="center"/>
            <w:shd w:fill="F1F3F6"/>
            <w:tcMar>
              <w:top w:w="75" w:type="dxa"/>
              <w:left w:w="75" w:type="dxa"/>
              <w:bottom w:w="75" w:type="dxa"/>
              <w:right w:w="75" w:type="dxa"/>
            </w:tcMar>
          </w:tcPr>
          <w:p>
            <w:pPr>
              <w:spacing w:after="40" w:line="245" w:lineRule="auto"/>
            </w:pPr>
            <w:r>
              <w:rPr>
                <w:sz w:val="19"/>
              </w:rPr>
              <w:t>T04 EF09</w:t>
            </w:r>
          </w:p>
        </w:tc>
        <w:tc>
          <w:tcPr>
            <w:tcW w:type="dxa" w:w="3816"/>
            <w:vAlign w:val="center"/>
            <w:shd w:fill="F1F3F6"/>
            <w:tcMar>
              <w:top w:w="75" w:type="dxa"/>
              <w:left w:w="75" w:type="dxa"/>
              <w:bottom w:w="75" w:type="dxa"/>
              <w:right w:w="75" w:type="dxa"/>
            </w:tcMar>
          </w:tcPr>
          <w:p>
            <w:pPr>
              <w:spacing w:after="40" w:line="245" w:lineRule="auto"/>
            </w:pPr>
            <w:r>
              <w:rPr>
                <w:sz w:val="19"/>
              </w:rPr>
              <w:t>Notes −1, 0, 34 et 101</w:t>
            </w:r>
          </w:p>
        </w:tc>
        <w:tc>
          <w:tcPr>
            <w:tcW w:type="dxa" w:w="4752"/>
            <w:vAlign w:val="center"/>
            <w:shd w:fill="F1F3F6"/>
            <w:tcMar>
              <w:top w:w="75" w:type="dxa"/>
              <w:left w:w="75" w:type="dxa"/>
              <w:bottom w:w="75" w:type="dxa"/>
              <w:right w:w="75" w:type="dxa"/>
            </w:tcMar>
          </w:tcPr>
          <w:p>
            <w:pPr>
              <w:spacing w:after="40" w:line="245" w:lineRule="auto"/>
            </w:pPr>
            <w:r>
              <w:rPr>
                <w:sz w:val="19"/>
              </w:rPr>
              <w:t>−1 et 101 refusées; 0 et 34 recevables.</w:t>
            </w:r>
          </w:p>
        </w:tc>
      </w:tr>
      <w:tr>
        <w:trPr>
          <w:cantSplit/>
        </w:trPr>
        <w:tc>
          <w:tcPr>
            <w:tcW w:type="dxa" w:w="1512"/>
            <w:vAlign w:val="center"/>
            <w:shd w:fill="FFFFFF"/>
            <w:tcMar>
              <w:top w:w="75" w:type="dxa"/>
              <w:left w:w="75" w:type="dxa"/>
              <w:bottom w:w="75" w:type="dxa"/>
              <w:right w:w="75" w:type="dxa"/>
            </w:tcMar>
          </w:tcPr>
          <w:p>
            <w:pPr>
              <w:spacing w:after="40" w:line="245" w:lineRule="auto"/>
            </w:pPr>
            <w:r>
              <w:rPr>
                <w:sz w:val="19"/>
              </w:rPr>
              <w:t>T05 RG03</w:t>
            </w:r>
          </w:p>
        </w:tc>
        <w:tc>
          <w:tcPr>
            <w:tcW w:type="dxa" w:w="3816"/>
            <w:vAlign w:val="center"/>
            <w:shd w:fill="FFFFFF"/>
            <w:tcMar>
              <w:top w:w="75" w:type="dxa"/>
              <w:left w:w="75" w:type="dxa"/>
              <w:bottom w:w="75" w:type="dxa"/>
              <w:right w:w="75" w:type="dxa"/>
            </w:tcMar>
          </w:tcPr>
          <w:p>
            <w:pPr>
              <w:spacing w:after="40" w:line="245" w:lineRule="auto"/>
            </w:pPr>
            <w:r>
              <w:rPr>
                <w:sz w:val="19"/>
              </w:rPr>
              <w:t>Résultat matière brut 49,2</w:t>
            </w:r>
          </w:p>
        </w:tc>
        <w:tc>
          <w:tcPr>
            <w:tcW w:type="dxa" w:w="4752"/>
            <w:vAlign w:val="center"/>
            <w:shd w:fill="FFFFFF"/>
            <w:tcMar>
              <w:top w:w="75" w:type="dxa"/>
              <w:left w:w="75" w:type="dxa"/>
              <w:bottom w:w="75" w:type="dxa"/>
              <w:right w:w="75" w:type="dxa"/>
            </w:tcMar>
          </w:tcPr>
          <w:p>
            <w:pPr>
              <w:spacing w:after="40" w:line="245" w:lineRule="auto"/>
            </w:pPr>
            <w:r>
              <w:rPr>
                <w:sz w:val="19"/>
              </w:rPr>
              <w:t>Retenu à 50; pas de rattrapage SN.</w:t>
            </w:r>
          </w:p>
        </w:tc>
      </w:tr>
      <w:tr>
        <w:trPr>
          <w:cantSplit/>
        </w:trPr>
        <w:tc>
          <w:tcPr>
            <w:tcW w:type="dxa" w:w="1512"/>
            <w:vAlign w:val="center"/>
            <w:shd w:fill="F1F3F6"/>
            <w:tcMar>
              <w:top w:w="75" w:type="dxa"/>
              <w:left w:w="75" w:type="dxa"/>
              <w:bottom w:w="75" w:type="dxa"/>
              <w:right w:w="75" w:type="dxa"/>
            </w:tcMar>
          </w:tcPr>
          <w:p>
            <w:pPr>
              <w:spacing w:after="40" w:line="245" w:lineRule="auto"/>
            </w:pPr>
            <w:r>
              <w:rPr>
                <w:sz w:val="19"/>
              </w:rPr>
              <w:t>T06 RG04</w:t>
            </w:r>
          </w:p>
        </w:tc>
        <w:tc>
          <w:tcPr>
            <w:tcW w:type="dxa" w:w="3816"/>
            <w:vAlign w:val="center"/>
            <w:shd w:fill="F1F3F6"/>
            <w:tcMar>
              <w:top w:w="75" w:type="dxa"/>
              <w:left w:w="75" w:type="dxa"/>
              <w:bottom w:w="75" w:type="dxa"/>
              <w:right w:w="75" w:type="dxa"/>
            </w:tcMar>
          </w:tcPr>
          <w:p>
            <w:pPr>
              <w:spacing w:after="40" w:line="245" w:lineRule="auto"/>
            </w:pPr>
            <w:r>
              <w:rPr>
                <w:sz w:val="19"/>
              </w:rPr>
              <w:t>Matières brutes 47,2 et 60,1; crédits 1 et 2</w:t>
            </w:r>
          </w:p>
        </w:tc>
        <w:tc>
          <w:tcPr>
            <w:tcW w:type="dxa" w:w="4752"/>
            <w:vAlign w:val="center"/>
            <w:shd w:fill="F1F3F6"/>
            <w:tcMar>
              <w:top w:w="75" w:type="dxa"/>
              <w:left w:w="75" w:type="dxa"/>
              <w:bottom w:w="75" w:type="dxa"/>
              <w:right w:w="75" w:type="dxa"/>
            </w:tcMar>
          </w:tcPr>
          <w:p>
            <w:pPr>
              <w:spacing w:after="40" w:line="245" w:lineRule="auto"/>
            </w:pPr>
            <w:r>
              <w:rPr>
                <w:sz w:val="19"/>
              </w:rPr>
              <w:t>Matières 48 et 61; UE 57; C+; 2,30 points.</w:t>
            </w:r>
          </w:p>
        </w:tc>
      </w:tr>
      <w:tr>
        <w:trPr>
          <w:cantSplit/>
        </w:trPr>
        <w:tc>
          <w:tcPr>
            <w:tcW w:type="dxa" w:w="1512"/>
            <w:vAlign w:val="center"/>
            <w:shd w:fill="FFFFFF"/>
            <w:tcMar>
              <w:top w:w="75" w:type="dxa"/>
              <w:left w:w="75" w:type="dxa"/>
              <w:bottom w:w="75" w:type="dxa"/>
              <w:right w:w="75" w:type="dxa"/>
            </w:tcMar>
          </w:tcPr>
          <w:p>
            <w:pPr>
              <w:spacing w:after="40" w:line="245" w:lineRule="auto"/>
            </w:pPr>
            <w:r>
              <w:rPr>
                <w:sz w:val="19"/>
              </w:rPr>
              <w:t>T07 RG05</w:t>
            </w:r>
          </w:p>
        </w:tc>
        <w:tc>
          <w:tcPr>
            <w:tcW w:type="dxa" w:w="3816"/>
            <w:vAlign w:val="center"/>
            <w:shd w:fill="FFFFFF"/>
            <w:tcMar>
              <w:top w:w="75" w:type="dxa"/>
              <w:left w:w="75" w:type="dxa"/>
              <w:bottom w:w="75" w:type="dxa"/>
              <w:right w:w="75" w:type="dxa"/>
            </w:tcMar>
          </w:tcPr>
          <w:p>
            <w:pPr>
              <w:spacing w:after="40" w:line="245" w:lineRule="auto"/>
            </w:pPr>
            <w:r>
              <w:rPr>
                <w:sz w:val="19"/>
              </w:rPr>
              <w:t>UE de points 2 et 3; crédits 2 et 4</w:t>
            </w:r>
          </w:p>
        </w:tc>
        <w:tc>
          <w:tcPr>
            <w:tcW w:type="dxa" w:w="4752"/>
            <w:vAlign w:val="center"/>
            <w:shd w:fill="FFFFFF"/>
            <w:tcMar>
              <w:top w:w="75" w:type="dxa"/>
              <w:left w:w="75" w:type="dxa"/>
              <w:bottom w:w="75" w:type="dxa"/>
              <w:right w:w="75" w:type="dxa"/>
            </w:tcMar>
          </w:tcPr>
          <w:p>
            <w:pPr>
              <w:spacing w:after="40" w:line="245" w:lineRule="auto"/>
            </w:pPr>
            <w:r>
              <w:rPr>
                <w:sz w:val="19"/>
              </w:rPr>
              <w:t>MGP = 16 / 6; aucune moyenne simple imposée.</w:t>
            </w:r>
          </w:p>
        </w:tc>
      </w:tr>
      <w:tr>
        <w:trPr>
          <w:cantSplit/>
        </w:trPr>
        <w:tc>
          <w:tcPr>
            <w:tcW w:type="dxa" w:w="1512"/>
            <w:vAlign w:val="center"/>
            <w:shd w:fill="F1F3F6"/>
            <w:tcMar>
              <w:top w:w="75" w:type="dxa"/>
              <w:left w:w="75" w:type="dxa"/>
              <w:bottom w:w="75" w:type="dxa"/>
              <w:right w:w="75" w:type="dxa"/>
            </w:tcMar>
          </w:tcPr>
          <w:p>
            <w:pPr>
              <w:spacing w:after="40" w:line="245" w:lineRule="auto"/>
            </w:pPr>
            <w:r>
              <w:rPr>
                <w:sz w:val="19"/>
              </w:rPr>
              <w:t>T08 RG06</w:t>
            </w:r>
          </w:p>
        </w:tc>
        <w:tc>
          <w:tcPr>
            <w:tcW w:type="dxa" w:w="3816"/>
            <w:vAlign w:val="center"/>
            <w:shd w:fill="F1F3F6"/>
            <w:tcMar>
              <w:top w:w="75" w:type="dxa"/>
              <w:left w:w="75" w:type="dxa"/>
              <w:bottom w:w="75" w:type="dxa"/>
              <w:right w:w="75" w:type="dxa"/>
            </w:tcMar>
          </w:tcPr>
          <w:p>
            <w:pPr>
              <w:spacing w:after="40" w:line="245" w:lineRule="auto"/>
            </w:pPr>
            <w:r>
              <w:rPr>
                <w:sz w:val="19"/>
              </w:rPr>
              <w:t>MGP 2, toutes UE ≥ 35, aucun EL</w:t>
            </w:r>
          </w:p>
        </w:tc>
        <w:tc>
          <w:tcPr>
            <w:tcW w:type="dxa" w:w="4752"/>
            <w:vAlign w:val="center"/>
            <w:shd w:fill="F1F3F6"/>
            <w:tcMar>
              <w:top w:w="75" w:type="dxa"/>
              <w:left w:w="75" w:type="dxa"/>
              <w:bottom w:w="75" w:type="dxa"/>
              <w:right w:w="75" w:type="dxa"/>
            </w:tcMar>
          </w:tcPr>
          <w:p>
            <w:pPr>
              <w:spacing w:after="40" w:line="245" w:lineRule="auto"/>
            </w:pPr>
            <w:r>
              <w:rPr>
                <w:sz w:val="19"/>
              </w:rPr>
              <w:t>Admission possible selon les conditions confirmées.</w:t>
            </w:r>
          </w:p>
        </w:tc>
      </w:tr>
      <w:tr>
        <w:trPr>
          <w:cantSplit/>
        </w:trPr>
        <w:tc>
          <w:tcPr>
            <w:tcW w:type="dxa" w:w="1512"/>
            <w:vAlign w:val="center"/>
            <w:shd w:fill="FFFFFF"/>
            <w:tcMar>
              <w:top w:w="75" w:type="dxa"/>
              <w:left w:w="75" w:type="dxa"/>
              <w:bottom w:w="75" w:type="dxa"/>
              <w:right w:w="75" w:type="dxa"/>
            </w:tcMar>
          </w:tcPr>
          <w:p>
            <w:pPr>
              <w:spacing w:after="40" w:line="245" w:lineRule="auto"/>
            </w:pPr>
            <w:r>
              <w:rPr>
                <w:sz w:val="19"/>
              </w:rPr>
              <w:t>T09 RG06</w:t>
            </w:r>
          </w:p>
        </w:tc>
        <w:tc>
          <w:tcPr>
            <w:tcW w:type="dxa" w:w="3816"/>
            <w:vAlign w:val="center"/>
            <w:shd w:fill="FFFFFF"/>
            <w:tcMar>
              <w:top w:w="75" w:type="dxa"/>
              <w:left w:w="75" w:type="dxa"/>
              <w:bottom w:w="75" w:type="dxa"/>
              <w:right w:w="75" w:type="dxa"/>
            </w:tcMar>
          </w:tcPr>
          <w:p>
            <w:pPr>
              <w:spacing w:after="40" w:line="245" w:lineRule="auto"/>
            </w:pPr>
            <w:r>
              <w:rPr>
                <w:sz w:val="19"/>
              </w:rPr>
              <w:t>MGP 3, une UE à 34</w:t>
            </w:r>
          </w:p>
        </w:tc>
        <w:tc>
          <w:tcPr>
            <w:tcW w:type="dxa" w:w="4752"/>
            <w:vAlign w:val="center"/>
            <w:shd w:fill="FFFFFF"/>
            <w:tcMar>
              <w:top w:w="75" w:type="dxa"/>
              <w:left w:w="75" w:type="dxa"/>
              <w:bottom w:w="75" w:type="dxa"/>
              <w:right w:w="75" w:type="dxa"/>
            </w:tcMar>
          </w:tcPr>
          <w:p>
            <w:pPr>
              <w:spacing w:after="40" w:line="245" w:lineRule="auto"/>
            </w:pPr>
            <w:r>
              <w:rPr>
                <w:sz w:val="19"/>
              </w:rPr>
              <w:t>Admission bloquée.</w:t>
            </w:r>
          </w:p>
        </w:tc>
      </w:tr>
      <w:tr>
        <w:trPr>
          <w:cantSplit/>
        </w:trPr>
        <w:tc>
          <w:tcPr>
            <w:tcW w:type="dxa" w:w="1512"/>
            <w:vAlign w:val="center"/>
            <w:shd w:fill="F1F3F6"/>
            <w:tcMar>
              <w:top w:w="75" w:type="dxa"/>
              <w:left w:w="75" w:type="dxa"/>
              <w:bottom w:w="75" w:type="dxa"/>
              <w:right w:w="75" w:type="dxa"/>
            </w:tcMar>
          </w:tcPr>
          <w:p>
            <w:pPr>
              <w:spacing w:after="40" w:line="245" w:lineRule="auto"/>
            </w:pPr>
            <w:r>
              <w:rPr>
                <w:sz w:val="19"/>
              </w:rPr>
              <w:t>T10 RG07</w:t>
            </w:r>
          </w:p>
        </w:tc>
        <w:tc>
          <w:tcPr>
            <w:tcW w:type="dxa" w:w="3816"/>
            <w:vAlign w:val="center"/>
            <w:shd w:fill="F1F3F6"/>
            <w:tcMar>
              <w:top w:w="75" w:type="dxa"/>
              <w:left w:w="75" w:type="dxa"/>
              <w:bottom w:w="75" w:type="dxa"/>
              <w:right w:w="75" w:type="dxa"/>
            </w:tcMar>
          </w:tcPr>
          <w:p>
            <w:pPr>
              <w:spacing w:after="40" w:line="245" w:lineRule="auto"/>
            </w:pPr>
            <w:r>
              <w:rPr>
                <w:sz w:val="19"/>
              </w:rPr>
              <w:t>MGP 3, une UE EL</w:t>
            </w:r>
          </w:p>
        </w:tc>
        <w:tc>
          <w:tcPr>
            <w:tcW w:type="dxa" w:w="4752"/>
            <w:vAlign w:val="center"/>
            <w:shd w:fill="F1F3F6"/>
            <w:tcMar>
              <w:top w:w="75" w:type="dxa"/>
              <w:left w:w="75" w:type="dxa"/>
              <w:bottom w:w="75" w:type="dxa"/>
              <w:right w:w="75" w:type="dxa"/>
            </w:tcMar>
          </w:tcPr>
          <w:p>
            <w:pPr>
              <w:spacing w:after="40" w:line="245" w:lineRule="auto"/>
            </w:pPr>
            <w:r>
              <w:rPr>
                <w:sz w:val="19"/>
              </w:rPr>
              <w:t>Échec; admission bloquée.</w:t>
            </w:r>
          </w:p>
        </w:tc>
      </w:tr>
      <w:tr>
        <w:trPr>
          <w:cantSplit/>
        </w:trPr>
        <w:tc>
          <w:tcPr>
            <w:tcW w:type="dxa" w:w="1512"/>
            <w:vAlign w:val="center"/>
            <w:shd w:fill="FFFFFF"/>
            <w:tcMar>
              <w:top w:w="75" w:type="dxa"/>
              <w:left w:w="75" w:type="dxa"/>
              <w:bottom w:w="75" w:type="dxa"/>
              <w:right w:w="75" w:type="dxa"/>
            </w:tcMar>
          </w:tcPr>
          <w:p>
            <w:pPr>
              <w:spacing w:after="40" w:line="245" w:lineRule="auto"/>
            </w:pPr>
            <w:r>
              <w:rPr>
                <w:sz w:val="19"/>
              </w:rPr>
              <w:t>T11 RG06</w:t>
            </w:r>
          </w:p>
        </w:tc>
        <w:tc>
          <w:tcPr>
            <w:tcW w:type="dxa" w:w="3816"/>
            <w:vAlign w:val="center"/>
            <w:shd w:fill="FFFFFF"/>
            <w:tcMar>
              <w:top w:w="75" w:type="dxa"/>
              <w:left w:w="75" w:type="dxa"/>
              <w:bottom w:w="75" w:type="dxa"/>
              <w:right w:w="75" w:type="dxa"/>
            </w:tcMar>
          </w:tcPr>
          <w:p>
            <w:pPr>
              <w:spacing w:after="40" w:line="245" w:lineRule="auto"/>
            </w:pPr>
            <w:r>
              <w:rPr>
                <w:sz w:val="19"/>
              </w:rPr>
              <w:t>Deux matières 30 et 70 de même crédit</w:t>
            </w:r>
          </w:p>
        </w:tc>
        <w:tc>
          <w:tcPr>
            <w:tcW w:type="dxa" w:w="4752"/>
            <w:vAlign w:val="center"/>
            <w:shd w:fill="FFFFFF"/>
            <w:tcMar>
              <w:top w:w="75" w:type="dxa"/>
              <w:left w:w="75" w:type="dxa"/>
              <w:bottom w:w="75" w:type="dxa"/>
              <w:right w:w="75" w:type="dxa"/>
            </w:tcMar>
          </w:tcPr>
          <w:p>
            <w:pPr>
              <w:spacing w:after="40" w:line="245" w:lineRule="auto"/>
            </w:pPr>
            <w:r>
              <w:rPr>
                <w:sz w:val="19"/>
              </w:rPr>
              <w:t>UE 50; le 30 ne bloque pas seul l’admission.</w:t>
            </w:r>
          </w:p>
        </w:tc>
      </w:tr>
      <w:tr>
        <w:trPr>
          <w:cantSplit/>
        </w:trPr>
        <w:tc>
          <w:tcPr>
            <w:tcW w:type="dxa" w:w="1512"/>
            <w:vAlign w:val="center"/>
            <w:shd w:fill="F1F3F6"/>
            <w:tcMar>
              <w:top w:w="75" w:type="dxa"/>
              <w:left w:w="75" w:type="dxa"/>
              <w:bottom w:w="75" w:type="dxa"/>
              <w:right w:w="75" w:type="dxa"/>
            </w:tcMar>
          </w:tcPr>
          <w:p>
            <w:pPr>
              <w:spacing w:after="40" w:line="245" w:lineRule="auto"/>
            </w:pPr>
            <w:r>
              <w:rPr>
                <w:sz w:val="19"/>
              </w:rPr>
              <w:t>T12 EF11</w:t>
            </w:r>
          </w:p>
        </w:tc>
        <w:tc>
          <w:tcPr>
            <w:tcW w:type="dxa" w:w="3816"/>
            <w:vAlign w:val="center"/>
            <w:shd w:fill="F1F3F6"/>
            <w:tcMar>
              <w:top w:w="75" w:type="dxa"/>
              <w:left w:w="75" w:type="dxa"/>
              <w:bottom w:w="75" w:type="dxa"/>
              <w:right w:w="75" w:type="dxa"/>
            </w:tcMar>
          </w:tcPr>
          <w:p>
            <w:pPr>
              <w:spacing w:after="40" w:line="245" w:lineRule="auto"/>
            </w:pPr>
            <w:r>
              <w:rPr>
                <w:sz w:val="19"/>
              </w:rPr>
              <w:t>Requête d’absence sans justificatif</w:t>
            </w:r>
          </w:p>
        </w:tc>
        <w:tc>
          <w:tcPr>
            <w:tcW w:type="dxa" w:w="4752"/>
            <w:vAlign w:val="center"/>
            <w:shd w:fill="F1F3F6"/>
            <w:tcMar>
              <w:top w:w="75" w:type="dxa"/>
              <w:left w:w="75" w:type="dxa"/>
              <w:bottom w:w="75" w:type="dxa"/>
              <w:right w:w="75" w:type="dxa"/>
            </w:tcMar>
          </w:tcPr>
          <w:p>
            <w:pPr>
              <w:spacing w:after="40" w:line="245" w:lineRule="auto"/>
            </w:pPr>
            <w:r>
              <w:rPr>
                <w:sz w:val="19"/>
              </w:rPr>
              <w:t>Soumission refusée; preuve demandée.</w:t>
            </w:r>
          </w:p>
        </w:tc>
      </w:tr>
      <w:tr>
        <w:trPr>
          <w:cantSplit/>
        </w:trPr>
        <w:tc>
          <w:tcPr>
            <w:tcW w:type="dxa" w:w="1512"/>
            <w:vAlign w:val="center"/>
            <w:shd w:fill="FFFFFF"/>
            <w:tcMar>
              <w:top w:w="75" w:type="dxa"/>
              <w:left w:w="75" w:type="dxa"/>
              <w:bottom w:w="75" w:type="dxa"/>
              <w:right w:w="75" w:type="dxa"/>
            </w:tcMar>
          </w:tcPr>
          <w:p>
            <w:pPr>
              <w:spacing w:after="40" w:line="245" w:lineRule="auto"/>
            </w:pPr>
            <w:r>
              <w:rPr>
                <w:sz w:val="19"/>
              </w:rPr>
              <w:t>T13 RG08</w:t>
            </w:r>
          </w:p>
        </w:tc>
        <w:tc>
          <w:tcPr>
            <w:tcW w:type="dxa" w:w="3816"/>
            <w:vAlign w:val="center"/>
            <w:shd w:fill="FFFFFF"/>
            <w:tcMar>
              <w:top w:w="75" w:type="dxa"/>
              <w:left w:w="75" w:type="dxa"/>
              <w:bottom w:w="75" w:type="dxa"/>
              <w:right w:w="75" w:type="dxa"/>
            </w:tcMar>
          </w:tcPr>
          <w:p>
            <w:pPr>
              <w:spacing w:after="40" w:line="245" w:lineRule="auto"/>
            </w:pPr>
            <w:r>
              <w:rPr>
                <w:sz w:val="19"/>
              </w:rPr>
              <w:t>Nouvelle note CC sans requête autorisée</w:t>
            </w:r>
          </w:p>
        </w:tc>
        <w:tc>
          <w:tcPr>
            <w:tcW w:type="dxa" w:w="4752"/>
            <w:vAlign w:val="center"/>
            <w:shd w:fill="FFFFFF"/>
            <w:tcMar>
              <w:top w:w="75" w:type="dxa"/>
              <w:left w:w="75" w:type="dxa"/>
              <w:bottom w:w="75" w:type="dxa"/>
              <w:right w:w="75" w:type="dxa"/>
            </w:tcMar>
          </w:tcPr>
          <w:p>
            <w:pPr>
              <w:spacing w:after="40" w:line="245" w:lineRule="auto"/>
            </w:pPr>
            <w:r>
              <w:rPr>
                <w:sz w:val="19"/>
              </w:rPr>
              <w:t>Ancienne note conservée; nouvelle tentative refusée.</w:t>
            </w:r>
          </w:p>
        </w:tc>
      </w:tr>
      <w:tr>
        <w:trPr>
          <w:cantSplit/>
        </w:trPr>
        <w:tc>
          <w:tcPr>
            <w:tcW w:type="dxa" w:w="1512"/>
            <w:vAlign w:val="center"/>
            <w:shd w:fill="F1F3F6"/>
            <w:tcMar>
              <w:top w:w="75" w:type="dxa"/>
              <w:left w:w="75" w:type="dxa"/>
              <w:bottom w:w="75" w:type="dxa"/>
              <w:right w:w="75" w:type="dxa"/>
            </w:tcMar>
          </w:tcPr>
          <w:p>
            <w:pPr>
              <w:spacing w:after="40" w:line="245" w:lineRule="auto"/>
            </w:pPr>
            <w:r>
              <w:rPr>
                <w:sz w:val="19"/>
              </w:rPr>
              <w:t>T14 RG10</w:t>
            </w:r>
          </w:p>
        </w:tc>
        <w:tc>
          <w:tcPr>
            <w:tcW w:type="dxa" w:w="3816"/>
            <w:vAlign w:val="center"/>
            <w:shd w:fill="F1F3F6"/>
            <w:tcMar>
              <w:top w:w="75" w:type="dxa"/>
              <w:left w:w="75" w:type="dxa"/>
              <w:bottom w:w="75" w:type="dxa"/>
              <w:right w:w="75" w:type="dxa"/>
            </w:tcMar>
          </w:tcPr>
          <w:p>
            <w:pPr>
              <w:spacing w:after="40" w:line="245" w:lineRule="auto"/>
            </w:pPr>
            <w:r>
              <w:rPr>
                <w:sz w:val="19"/>
              </w:rPr>
              <w:t>SN initiale 60 puis rattrapage autorisé 40</w:t>
            </w:r>
          </w:p>
        </w:tc>
        <w:tc>
          <w:tcPr>
            <w:tcW w:type="dxa" w:w="4752"/>
            <w:vAlign w:val="center"/>
            <w:shd w:fill="F1F3F6"/>
            <w:tcMar>
              <w:top w:w="75" w:type="dxa"/>
              <w:left w:w="75" w:type="dxa"/>
              <w:bottom w:w="75" w:type="dxa"/>
              <w:right w:w="75" w:type="dxa"/>
            </w:tcMar>
          </w:tcPr>
          <w:p>
            <w:pPr>
              <w:spacing w:after="40" w:line="245" w:lineRule="auto"/>
            </w:pPr>
            <w:r>
              <w:rPr>
                <w:sz w:val="19"/>
              </w:rPr>
              <w:t>40 remplace 60 au même poids; historique conservé.</w:t>
            </w:r>
          </w:p>
        </w:tc>
      </w:tr>
      <w:tr>
        <w:trPr>
          <w:cantSplit/>
        </w:trPr>
        <w:tc>
          <w:tcPr>
            <w:tcW w:type="dxa" w:w="1512"/>
            <w:vAlign w:val="center"/>
            <w:shd w:fill="FFFFFF"/>
            <w:tcMar>
              <w:top w:w="75" w:type="dxa"/>
              <w:left w:w="75" w:type="dxa"/>
              <w:bottom w:w="75" w:type="dxa"/>
              <w:right w:w="75" w:type="dxa"/>
            </w:tcMar>
          </w:tcPr>
          <w:p>
            <w:pPr>
              <w:spacing w:after="40" w:line="245" w:lineRule="auto"/>
            </w:pPr>
            <w:r>
              <w:rPr>
                <w:sz w:val="19"/>
              </w:rPr>
              <w:t>T15 RG11</w:t>
            </w:r>
          </w:p>
        </w:tc>
        <w:tc>
          <w:tcPr>
            <w:tcW w:type="dxa" w:w="3816"/>
            <w:vAlign w:val="center"/>
            <w:shd w:fill="FFFFFF"/>
            <w:tcMar>
              <w:top w:w="75" w:type="dxa"/>
              <w:left w:w="75" w:type="dxa"/>
              <w:bottom w:w="75" w:type="dxa"/>
              <w:right w:w="75" w:type="dxa"/>
            </w:tcMar>
          </w:tcPr>
          <w:p>
            <w:pPr>
              <w:spacing w:after="40" w:line="245" w:lineRule="auto"/>
            </w:pPr>
            <w:r>
              <w:rPr>
                <w:sz w:val="19"/>
              </w:rPr>
              <w:t>Absence au rattrapage puis rejet</w:t>
            </w:r>
          </w:p>
        </w:tc>
        <w:tc>
          <w:tcPr>
            <w:tcW w:type="dxa" w:w="4752"/>
            <w:vAlign w:val="center"/>
            <w:shd w:fill="FFFFFF"/>
            <w:tcMar>
              <w:top w:w="75" w:type="dxa"/>
              <w:left w:w="75" w:type="dxa"/>
              <w:bottom w:w="75" w:type="dxa"/>
              <w:right w:w="75" w:type="dxa"/>
            </w:tcMar>
          </w:tcPr>
          <w:p>
            <w:pPr>
              <w:spacing w:after="40" w:line="245" w:lineRule="auto"/>
            </w:pPr>
            <w:r>
              <w:rPr>
                <w:sz w:val="19"/>
              </w:rPr>
              <w:t>EL maintenu et UE à reprendre.</w:t>
            </w:r>
          </w:p>
        </w:tc>
      </w:tr>
      <w:tr>
        <w:trPr>
          <w:cantSplit/>
        </w:trPr>
        <w:tc>
          <w:tcPr>
            <w:tcW w:type="dxa" w:w="1512"/>
            <w:vAlign w:val="center"/>
            <w:shd w:fill="F1F3F6"/>
            <w:tcMar>
              <w:top w:w="75" w:type="dxa"/>
              <w:left w:w="75" w:type="dxa"/>
              <w:bottom w:w="75" w:type="dxa"/>
              <w:right w:w="75" w:type="dxa"/>
            </w:tcMar>
          </w:tcPr>
          <w:p>
            <w:pPr>
              <w:spacing w:after="40" w:line="245" w:lineRule="auto"/>
            </w:pPr>
            <w:r>
              <w:rPr>
                <w:sz w:val="19"/>
              </w:rPr>
              <w:t>T16 EF08</w:t>
            </w:r>
          </w:p>
        </w:tc>
        <w:tc>
          <w:tcPr>
            <w:tcW w:type="dxa" w:w="3816"/>
            <w:vAlign w:val="center"/>
            <w:shd w:fill="F1F3F6"/>
            <w:tcMar>
              <w:top w:w="75" w:type="dxa"/>
              <w:left w:w="75" w:type="dxa"/>
              <w:bottom w:w="75" w:type="dxa"/>
              <w:right w:w="75" w:type="dxa"/>
            </w:tcMar>
          </w:tcPr>
          <w:p>
            <w:pPr>
              <w:spacing w:after="40" w:line="245" w:lineRule="auto"/>
            </w:pPr>
            <w:r>
              <w:rPr>
                <w:sz w:val="19"/>
              </w:rPr>
              <w:t>Exception approuvée pour un étudiant</w:t>
            </w:r>
          </w:p>
        </w:tc>
        <w:tc>
          <w:tcPr>
            <w:tcW w:type="dxa" w:w="4752"/>
            <w:vAlign w:val="center"/>
            <w:shd w:fill="F1F3F6"/>
            <w:tcMar>
              <w:top w:w="75" w:type="dxa"/>
              <w:left w:w="75" w:type="dxa"/>
              <w:bottom w:w="75" w:type="dxa"/>
              <w:right w:w="75" w:type="dxa"/>
            </w:tcMar>
          </w:tcPr>
          <w:p>
            <w:pPr>
              <w:spacing w:after="40" w:line="245" w:lineRule="auto"/>
            </w:pPr>
            <w:r>
              <w:rPr>
                <w:sz w:val="19"/>
              </w:rPr>
              <w:t>Seul son calcul change; plan commun conservé.</w:t>
            </w:r>
          </w:p>
        </w:tc>
      </w:tr>
      <w:tr>
        <w:trPr>
          <w:cantSplit/>
        </w:trPr>
        <w:tc>
          <w:tcPr>
            <w:tcW w:type="dxa" w:w="1512"/>
            <w:vAlign w:val="center"/>
            <w:shd w:fill="FFFFFF"/>
            <w:tcMar>
              <w:top w:w="75" w:type="dxa"/>
              <w:left w:w="75" w:type="dxa"/>
              <w:bottom w:w="75" w:type="dxa"/>
              <w:right w:w="75" w:type="dxa"/>
            </w:tcMar>
          </w:tcPr>
          <w:p>
            <w:pPr>
              <w:spacing w:after="40" w:line="245" w:lineRule="auto"/>
            </w:pPr>
            <w:r>
              <w:rPr>
                <w:sz w:val="19"/>
              </w:rPr>
              <w:t>T17 EF13</w:t>
            </w:r>
          </w:p>
        </w:tc>
        <w:tc>
          <w:tcPr>
            <w:tcW w:type="dxa" w:w="3816"/>
            <w:vAlign w:val="center"/>
            <w:shd w:fill="FFFFFF"/>
            <w:tcMar>
              <w:top w:w="75" w:type="dxa"/>
              <w:left w:w="75" w:type="dxa"/>
              <w:bottom w:w="75" w:type="dxa"/>
              <w:right w:w="75" w:type="dxa"/>
            </w:tcMar>
          </w:tcPr>
          <w:p>
            <w:pPr>
              <w:spacing w:after="40" w:line="245" w:lineRule="auto"/>
            </w:pPr>
            <w:r>
              <w:rPr>
                <w:sz w:val="19"/>
              </w:rPr>
              <w:t>Agent publie avec note attendue non validée</w:t>
            </w:r>
          </w:p>
        </w:tc>
        <w:tc>
          <w:tcPr>
            <w:tcW w:type="dxa" w:w="4752"/>
            <w:vAlign w:val="center"/>
            <w:shd w:fill="FFFFFF"/>
            <w:tcMar>
              <w:top w:w="75" w:type="dxa"/>
              <w:left w:w="75" w:type="dxa"/>
              <w:bottom w:w="75" w:type="dxa"/>
              <w:right w:w="75" w:type="dxa"/>
            </w:tcMar>
          </w:tcPr>
          <w:p>
            <w:pPr>
              <w:spacing w:after="40" w:line="245" w:lineRule="auto"/>
            </w:pPr>
            <w:r>
              <w:rPr>
                <w:sz w:val="19"/>
              </w:rPr>
              <w:t>Résultat officiel concerné bloqué.</w:t>
            </w:r>
          </w:p>
        </w:tc>
      </w:tr>
      <w:tr>
        <w:trPr>
          <w:cantSplit/>
        </w:trPr>
        <w:tc>
          <w:tcPr>
            <w:tcW w:type="dxa" w:w="1512"/>
            <w:vAlign w:val="center"/>
            <w:shd w:fill="F1F3F6"/>
            <w:tcMar>
              <w:top w:w="75" w:type="dxa"/>
              <w:left w:w="75" w:type="dxa"/>
              <w:bottom w:w="75" w:type="dxa"/>
              <w:right w:w="75" w:type="dxa"/>
            </w:tcMar>
          </w:tcPr>
          <w:p>
            <w:pPr>
              <w:spacing w:after="40" w:line="245" w:lineRule="auto"/>
            </w:pPr>
            <w:r>
              <w:rPr>
                <w:sz w:val="19"/>
              </w:rPr>
              <w:t>T18 EF14</w:t>
            </w:r>
          </w:p>
        </w:tc>
        <w:tc>
          <w:tcPr>
            <w:tcW w:type="dxa" w:w="3816"/>
            <w:vAlign w:val="center"/>
            <w:shd w:fill="F1F3F6"/>
            <w:tcMar>
              <w:top w:w="75" w:type="dxa"/>
              <w:left w:w="75" w:type="dxa"/>
              <w:bottom w:w="75" w:type="dxa"/>
              <w:right w:w="75" w:type="dxa"/>
            </w:tcMar>
          </w:tcPr>
          <w:p>
            <w:pPr>
              <w:spacing w:after="40" w:line="245" w:lineRule="auto"/>
            </w:pPr>
            <w:r>
              <w:rPr>
                <w:sz w:val="19"/>
              </w:rPr>
              <w:t>Publication terminée</w:t>
            </w:r>
          </w:p>
        </w:tc>
        <w:tc>
          <w:tcPr>
            <w:tcW w:type="dxa" w:w="4752"/>
            <w:vAlign w:val="center"/>
            <w:shd w:fill="F1F3F6"/>
            <w:tcMar>
              <w:top w:w="75" w:type="dxa"/>
              <w:left w:w="75" w:type="dxa"/>
              <w:bottom w:w="75" w:type="dxa"/>
              <w:right w:w="75" w:type="dxa"/>
            </w:tcMar>
          </w:tcPr>
          <w:p>
            <w:pPr>
              <w:spacing w:after="40" w:line="245" w:lineRule="auto"/>
            </w:pPr>
            <w:r>
              <w:rPr>
                <w:sz w:val="19"/>
              </w:rPr>
              <w:t>Liste de rattrapage accessible à l’enseignant affecté.</w:t>
            </w:r>
          </w:p>
        </w:tc>
      </w:tr>
      <w:tr>
        <w:trPr>
          <w:cantSplit/>
        </w:trPr>
        <w:tc>
          <w:tcPr>
            <w:tcW w:type="dxa" w:w="1512"/>
            <w:vAlign w:val="center"/>
            <w:shd w:fill="FFFFFF"/>
            <w:tcMar>
              <w:top w:w="75" w:type="dxa"/>
              <w:left w:w="75" w:type="dxa"/>
              <w:bottom w:w="75" w:type="dxa"/>
              <w:right w:w="75" w:type="dxa"/>
            </w:tcMar>
          </w:tcPr>
          <w:p>
            <w:pPr>
              <w:spacing w:after="40" w:line="245" w:lineRule="auto"/>
            </w:pPr>
            <w:r>
              <w:rPr>
                <w:sz w:val="19"/>
              </w:rPr>
              <w:t>T19 EF17</w:t>
            </w:r>
          </w:p>
        </w:tc>
        <w:tc>
          <w:tcPr>
            <w:tcW w:type="dxa" w:w="3816"/>
            <w:vAlign w:val="center"/>
            <w:shd w:fill="FFFFFF"/>
            <w:tcMar>
              <w:top w:w="75" w:type="dxa"/>
              <w:left w:w="75" w:type="dxa"/>
              <w:bottom w:w="75" w:type="dxa"/>
              <w:right w:w="75" w:type="dxa"/>
            </w:tcMar>
          </w:tcPr>
          <w:p>
            <w:pPr>
              <w:spacing w:after="40" w:line="245" w:lineRule="auto"/>
            </w:pPr>
            <w:r>
              <w:rPr>
                <w:sz w:val="19"/>
              </w:rPr>
              <w:t>Vendredi évalué; lundi et mardi ouvrables</w:t>
            </w:r>
          </w:p>
        </w:tc>
        <w:tc>
          <w:tcPr>
            <w:tcW w:type="dxa" w:w="4752"/>
            <w:vAlign w:val="center"/>
            <w:shd w:fill="FFFFFF"/>
            <w:tcMar>
              <w:top w:w="75" w:type="dxa"/>
              <w:left w:w="75" w:type="dxa"/>
              <w:bottom w:w="75" w:type="dxa"/>
              <w:right w:w="75" w:type="dxa"/>
            </w:tcMar>
          </w:tcPr>
          <w:p>
            <w:pPr>
              <w:spacing w:after="40" w:line="245" w:lineRule="auto"/>
            </w:pPr>
            <w:r>
              <w:rPr>
                <w:sz w:val="19"/>
              </w:rPr>
              <w:t>Premier rappel mardi; poursuite chaque jour ouvrable.</w:t>
            </w:r>
          </w:p>
        </w:tc>
      </w:tr>
      <w:tr>
        <w:trPr>
          <w:cantSplit/>
        </w:trPr>
        <w:tc>
          <w:tcPr>
            <w:tcW w:type="dxa" w:w="1512"/>
            <w:vAlign w:val="center"/>
            <w:shd w:fill="F1F3F6"/>
            <w:tcMar>
              <w:top w:w="75" w:type="dxa"/>
              <w:left w:w="75" w:type="dxa"/>
              <w:bottom w:w="75" w:type="dxa"/>
              <w:right w:w="75" w:type="dxa"/>
            </w:tcMar>
          </w:tcPr>
          <w:p>
            <w:pPr>
              <w:spacing w:after="40" w:line="245" w:lineRule="auto"/>
            </w:pPr>
            <w:r>
              <w:rPr>
                <w:sz w:val="19"/>
              </w:rPr>
              <w:t>T20 EF17</w:t>
            </w:r>
          </w:p>
        </w:tc>
        <w:tc>
          <w:tcPr>
            <w:tcW w:type="dxa" w:w="3816"/>
            <w:vAlign w:val="center"/>
            <w:shd w:fill="F1F3F6"/>
            <w:tcMar>
              <w:top w:w="75" w:type="dxa"/>
              <w:left w:w="75" w:type="dxa"/>
              <w:bottom w:w="75" w:type="dxa"/>
              <w:right w:w="75" w:type="dxa"/>
            </w:tcMar>
          </w:tcPr>
          <w:p>
            <w:pPr>
              <w:spacing w:after="40" w:line="245" w:lineRule="auto"/>
            </w:pPr>
            <w:r>
              <w:rPr>
                <w:sz w:val="19"/>
              </w:rPr>
              <w:t>Toutes notes saisies, une non validée</w:t>
            </w:r>
          </w:p>
        </w:tc>
        <w:tc>
          <w:tcPr>
            <w:tcW w:type="dxa" w:w="4752"/>
            <w:vAlign w:val="center"/>
            <w:shd w:fill="F1F3F6"/>
            <w:tcMar>
              <w:top w:w="75" w:type="dxa"/>
              <w:left w:w="75" w:type="dxa"/>
              <w:bottom w:w="75" w:type="dxa"/>
              <w:right w:w="75" w:type="dxa"/>
            </w:tcMar>
          </w:tcPr>
          <w:p>
            <w:pPr>
              <w:spacing w:after="40" w:line="245" w:lineRule="auto"/>
            </w:pPr>
            <w:r>
              <w:rPr>
                <w:sz w:val="19"/>
              </w:rPr>
              <w:t>Rappel maintenu; arrêt après dernière validation.</w:t>
            </w:r>
          </w:p>
        </w:tc>
      </w:tr>
      <w:tr>
        <w:trPr>
          <w:cantSplit/>
        </w:trPr>
        <w:tc>
          <w:tcPr>
            <w:tcW w:type="dxa" w:w="1512"/>
            <w:vAlign w:val="center"/>
            <w:shd w:fill="FFFFFF"/>
            <w:tcMar>
              <w:top w:w="75" w:type="dxa"/>
              <w:left w:w="75" w:type="dxa"/>
              <w:bottom w:w="75" w:type="dxa"/>
              <w:right w:w="75" w:type="dxa"/>
            </w:tcMar>
          </w:tcPr>
          <w:p>
            <w:pPr>
              <w:spacing w:after="40" w:line="245" w:lineRule="auto"/>
            </w:pPr>
            <w:r>
              <w:rPr>
                <w:sz w:val="19"/>
              </w:rPr>
              <w:t>T21 EF16</w:t>
            </w:r>
          </w:p>
        </w:tc>
        <w:tc>
          <w:tcPr>
            <w:tcW w:type="dxa" w:w="3816"/>
            <w:vAlign w:val="center"/>
            <w:shd w:fill="FFFFFF"/>
            <w:tcMar>
              <w:top w:w="75" w:type="dxa"/>
              <w:left w:w="75" w:type="dxa"/>
              <w:bottom w:w="75" w:type="dxa"/>
              <w:right w:w="75" w:type="dxa"/>
            </w:tcMar>
          </w:tcPr>
          <w:p>
            <w:pPr>
              <w:spacing w:after="40" w:line="245" w:lineRule="auto"/>
            </w:pPr>
            <w:r>
              <w:rPr>
                <w:sz w:val="19"/>
              </w:rPr>
              <w:t>Correction publiée une seconde fois</w:t>
            </w:r>
          </w:p>
        </w:tc>
        <w:tc>
          <w:tcPr>
            <w:tcW w:type="dxa" w:w="4752"/>
            <w:vAlign w:val="center"/>
            <w:shd w:fill="FFFFFF"/>
            <w:tcMar>
              <w:top w:w="75" w:type="dxa"/>
              <w:left w:w="75" w:type="dxa"/>
              <w:bottom w:w="75" w:type="dxa"/>
              <w:right w:w="75" w:type="dxa"/>
            </w:tcMar>
          </w:tcPr>
          <w:p>
            <w:pPr>
              <w:spacing w:after="40" w:line="245" w:lineRule="auto"/>
            </w:pPr>
            <w:r>
              <w:rPr>
                <w:sz w:val="19"/>
              </w:rPr>
              <w:t>Nouvelle version courante; ancienne conservée.</w:t>
            </w:r>
          </w:p>
        </w:tc>
      </w:tr>
    </w:tbl>
    <w:p>
      <w:pPr>
        <w:pStyle w:val="Heading1"/>
        <w:pageBreakBefore/>
      </w:pPr>
      <w:r>
        <w:t>12 Arbitrages et préparation de la suite</w:t>
      </w:r>
    </w:p>
    <w:p>
      <w:r>
        <w:t>EL, délais, tentatives, reprise et transcription du jury sont fixés. Les points ouverts ci-dessous ne modifient pas ces décisions.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3024"/>
        <w:gridCol w:w="5760"/>
      </w:tblGrid>
      <w:tr>
        <w:trPr>
          <w:cantSplit/>
          <w:tblHeader/>
        </w:trPr>
        <w:tc>
          <w:tcPr>
            <w:tcW w:type="dxa" w:w="1296"/>
            <w:vAlign w:val="center"/>
            <w:shd w:fill="1B2942"/>
            <w:tcMar>
              <w:top w:w="75" w:type="dxa"/>
              <w:left w:w="75" w:type="dxa"/>
              <w:bottom w:w="75" w:type="dxa"/>
              <w:right w:w="75" w:type="dxa"/>
            </w:tcMar>
          </w:tcPr>
          <w:p>
            <w:pPr>
              <w:spacing w:after="40" w:line="245" w:lineRule="auto" w:before="40"/>
            </w:pPr>
            <w:r>
              <w:rPr>
                <w:b/>
                <w:color w:val="FFFFFF"/>
                <w:sz w:val="18"/>
              </w:rPr>
              <w:t>Référence</w:t>
            </w:r>
          </w:p>
        </w:tc>
        <w:tc>
          <w:tcPr>
            <w:tcW w:type="dxa" w:w="3024"/>
            <w:vAlign w:val="center"/>
            <w:shd w:fill="1B2942"/>
            <w:tcMar>
              <w:top w:w="75" w:type="dxa"/>
              <w:left w:w="75" w:type="dxa"/>
              <w:bottom w:w="75" w:type="dxa"/>
              <w:right w:w="75" w:type="dxa"/>
            </w:tcMar>
          </w:tcPr>
          <w:p>
            <w:pPr>
              <w:spacing w:before="40" w:after="40"/>
            </w:pPr>
            <w:r>
              <w:rPr>
                <w:b/>
                <w:color w:val="FFFFFF"/>
                <w:sz w:val="18"/>
              </w:rPr>
              <w:t>Point et état</w:t>
            </w:r>
          </w:p>
        </w:tc>
        <w:tc>
          <w:tcPr>
            <w:tcW w:type="dxa" w:w="5760"/>
            <w:vAlign w:val="center"/>
            <w:shd w:fill="1B2942"/>
            <w:tcMar>
              <w:top w:w="75" w:type="dxa"/>
              <w:left w:w="75" w:type="dxa"/>
              <w:bottom w:w="75" w:type="dxa"/>
              <w:right w:w="75" w:type="dxa"/>
            </w:tcMar>
          </w:tcPr>
          <w:p>
            <w:pPr>
              <w:spacing w:before="40" w:after="40"/>
            </w:pPr>
            <w:r>
              <w:rPr>
                <w:b/>
                <w:color w:val="FFFFFF"/>
                <w:sz w:val="18"/>
              </w:rPr>
              <w:t>Règle ou suite attendue</w:t>
            </w:r>
          </w:p>
        </w:tc>
      </w:tr>
      <w:tr>
        <w:trPr>
          <w:cantSplit/>
        </w:trPr>
        <w:tc>
          <w:tcPr>
            <w:tcW w:type="dxa" w:w="1296"/>
            <w:vAlign w:val="center"/>
            <w:shd w:fill="FFFFFF"/>
            <w:tcMar>
              <w:top w:w="75" w:type="dxa"/>
              <w:left w:w="75" w:type="dxa"/>
              <w:bottom w:w="75" w:type="dxa"/>
              <w:right w:w="75" w:type="dxa"/>
            </w:tcMar>
          </w:tcPr>
          <w:p>
            <w:pPr>
              <w:spacing w:before="40" w:after="40"/>
            </w:pPr>
            <w:r>
              <w:rPr>
                <w:sz w:val="18"/>
              </w:rPr>
              <w:t>AR01 résolu</w:t>
            </w:r>
          </w:p>
        </w:tc>
        <w:tc>
          <w:tcPr>
            <w:tcW w:type="dxa" w:w="3024"/>
            <w:vAlign w:val="center"/>
            <w:shd w:fill="FFFFFF"/>
            <w:tcMar>
              <w:top w:w="75" w:type="dxa"/>
              <w:left w:w="75" w:type="dxa"/>
              <w:bottom w:w="75" w:type="dxa"/>
              <w:right w:w="75" w:type="dxa"/>
            </w:tcMar>
          </w:tcPr>
          <w:p>
            <w:pPr>
              <w:spacing w:before="40" w:after="40"/>
            </w:pPr>
            <w:r>
              <w:rPr>
                <w:sz w:val="18"/>
              </w:rPr>
              <w:t>EL et MGP</w:t>
            </w:r>
          </w:p>
        </w:tc>
        <w:tc>
          <w:tcPr>
            <w:tcW w:type="dxa" w:w="5760"/>
            <w:vAlign w:val="center"/>
            <w:shd w:fill="FFFFFF"/>
            <w:tcMar>
              <w:top w:w="75" w:type="dxa"/>
              <w:left w:w="75" w:type="dxa"/>
              <w:bottom w:w="75" w:type="dxa"/>
              <w:right w:w="75" w:type="dxa"/>
            </w:tcMar>
          </w:tcPr>
          <w:p>
            <w:pPr>
              <w:spacing w:before="40" w:after="40"/>
            </w:pPr>
            <w:r>
              <w:rPr>
                <w:sz w:val="18"/>
              </w:rPr>
              <w:t>0 point; crédits inclus; mention EL et échec conservés.</w:t>
            </w:r>
          </w:p>
        </w:tc>
      </w:tr>
      <w:tr>
        <w:trPr>
          <w:cantSplit/>
        </w:trPr>
        <w:tc>
          <w:tcPr>
            <w:tcW w:type="dxa" w:w="1296"/>
            <w:vAlign w:val="center"/>
            <w:shd w:fill="F1F3F6"/>
            <w:tcMar>
              <w:top w:w="75" w:type="dxa"/>
              <w:left w:w="75" w:type="dxa"/>
              <w:bottom w:w="75" w:type="dxa"/>
              <w:right w:w="75" w:type="dxa"/>
            </w:tcMar>
          </w:tcPr>
          <w:p>
            <w:pPr>
              <w:spacing w:before="40" w:after="40"/>
            </w:pPr>
            <w:r>
              <w:rPr>
                <w:sz w:val="18"/>
              </w:rPr>
              <w:t>AR02 résolu</w:t>
            </w:r>
          </w:p>
        </w:tc>
        <w:tc>
          <w:tcPr>
            <w:tcW w:type="dxa" w:w="3024"/>
            <w:vAlign w:val="center"/>
            <w:shd w:fill="F1F3F6"/>
            <w:tcMar>
              <w:top w:w="75" w:type="dxa"/>
              <w:left w:w="75" w:type="dxa"/>
              <w:bottom w:w="75" w:type="dxa"/>
              <w:right w:w="75" w:type="dxa"/>
            </w:tcMar>
          </w:tcPr>
          <w:p>
            <w:pPr>
              <w:spacing w:before="40" w:after="40"/>
            </w:pPr>
            <w:r>
              <w:rPr>
                <w:sz w:val="18"/>
              </w:rPr>
              <w:t>Tentatives et délais</w:t>
            </w:r>
          </w:p>
        </w:tc>
        <w:tc>
          <w:tcPr>
            <w:tcW w:type="dxa" w:w="5760"/>
            <w:vAlign w:val="center"/>
            <w:shd w:fill="F1F3F6"/>
            <w:tcMar>
              <w:top w:w="75" w:type="dxa"/>
              <w:left w:w="75" w:type="dxa"/>
              <w:bottom w:w="75" w:type="dxa"/>
              <w:right w:w="75" w:type="dxa"/>
            </w:tcMar>
          </w:tcPr>
          <w:p>
            <w:pPr>
              <w:spacing w:before="40" w:after="40"/>
            </w:pPr>
            <w:r>
              <w:rPr>
                <w:sz w:val="18"/>
              </w:rPr>
              <w:t>Un rattrapage par EC et année. Requête dans les 48 h; nouveau délai sur note corrigée republiée.</w:t>
            </w:r>
          </w:p>
        </w:tc>
      </w:tr>
      <w:tr>
        <w:trPr>
          <w:cantSplit/>
        </w:trPr>
        <w:tc>
          <w:tcPr>
            <w:tcW w:type="dxa" w:w="1296"/>
            <w:vAlign w:val="center"/>
            <w:shd w:fill="FFFFFF"/>
            <w:tcMar>
              <w:top w:w="75" w:type="dxa"/>
              <w:left w:w="75" w:type="dxa"/>
              <w:bottom w:w="75" w:type="dxa"/>
              <w:right w:w="75" w:type="dxa"/>
            </w:tcMar>
          </w:tcPr>
          <w:p>
            <w:pPr>
              <w:spacing w:before="40" w:after="40"/>
            </w:pPr>
            <w:r>
              <w:rPr>
                <w:sz w:val="18"/>
              </w:rPr>
              <w:t>AR03 ouvert</w:t>
            </w:r>
          </w:p>
        </w:tc>
        <w:tc>
          <w:tcPr>
            <w:tcW w:type="dxa" w:w="3024"/>
            <w:vAlign w:val="center"/>
            <w:shd w:fill="FFFFFF"/>
            <w:tcMar>
              <w:top w:w="75" w:type="dxa"/>
              <w:left w:w="75" w:type="dxa"/>
              <w:bottom w:w="75" w:type="dxa"/>
              <w:right w:w="75" w:type="dxa"/>
            </w:tcMar>
          </w:tcPr>
          <w:p>
            <w:pPr>
              <w:spacing w:before="40" w:after="40"/>
            </w:pPr>
            <w:r>
              <w:rPr>
                <w:sz w:val="18"/>
              </w:rPr>
              <w:t>Libellé obligatoire ou facultatif</w:t>
            </w:r>
          </w:p>
        </w:tc>
        <w:tc>
          <w:tcPr>
            <w:tcW w:type="dxa" w:w="5760"/>
            <w:vAlign w:val="center"/>
            <w:shd w:fill="FFFFFF"/>
            <w:tcMar>
              <w:top w:w="75" w:type="dxa"/>
              <w:left w:w="75" w:type="dxa"/>
              <w:bottom w:w="75" w:type="dxa"/>
              <w:right w:w="75" w:type="dxa"/>
            </w:tcMar>
          </w:tcPr>
          <w:p>
            <w:pPr>
              <w:spacing w:before="40" w:after="40"/>
            </w:pPr>
            <w:r>
              <w:rPr>
                <w:sz w:val="18"/>
              </w:rPr>
              <w:t>Éligibilité SN fondée sur EC arrondi &lt; 50; aucune dérogation au seuil ni seconde tentative.</w:t>
            </w:r>
          </w:p>
        </w:tc>
      </w:tr>
      <w:tr>
        <w:trPr>
          <w:cantSplit/>
        </w:trPr>
        <w:tc>
          <w:tcPr>
            <w:tcW w:type="dxa" w:w="1296"/>
            <w:vAlign w:val="center"/>
            <w:shd w:fill="F1F3F6"/>
            <w:tcMar>
              <w:top w:w="75" w:type="dxa"/>
              <w:left w:w="75" w:type="dxa"/>
              <w:bottom w:w="75" w:type="dxa"/>
              <w:right w:w="75" w:type="dxa"/>
            </w:tcMar>
          </w:tcPr>
          <w:p>
            <w:pPr>
              <w:spacing w:before="40" w:after="40"/>
            </w:pPr>
            <w:r>
              <w:rPr>
                <w:sz w:val="18"/>
              </w:rPr>
              <w:t>AR04 partiel</w:t>
            </w:r>
          </w:p>
        </w:tc>
        <w:tc>
          <w:tcPr>
            <w:tcW w:type="dxa" w:w="3024"/>
            <w:vAlign w:val="center"/>
            <w:shd w:fill="F1F3F6"/>
            <w:tcMar>
              <w:top w:w="75" w:type="dxa"/>
              <w:left w:w="75" w:type="dxa"/>
              <w:bottom w:w="75" w:type="dxa"/>
              <w:right w:w="75" w:type="dxa"/>
            </w:tcMar>
          </w:tcPr>
          <w:p>
            <w:pPr>
              <w:spacing w:before="40" w:after="40"/>
            </w:pPr>
            <w:r>
              <w:rPr>
                <w:sz w:val="18"/>
              </w:rPr>
              <w:t>Reprise et transfert des crédits</w:t>
            </w:r>
          </w:p>
        </w:tc>
        <w:tc>
          <w:tcPr>
            <w:tcW w:type="dxa" w:w="5760"/>
            <w:vAlign w:val="center"/>
            <w:shd w:fill="F1F3F6"/>
            <w:tcMar>
              <w:top w:w="75" w:type="dxa"/>
              <w:left w:w="75" w:type="dxa"/>
              <w:bottom w:w="75" w:type="dxa"/>
              <w:right w:w="75" w:type="dxa"/>
            </w:tcMar>
          </w:tcPr>
          <w:p>
            <w:pPr>
              <w:spacing w:before="40" w:after="40"/>
            </w:pPr>
            <w:r>
              <w:rPr>
                <w:sz w:val="18"/>
              </w:rPr>
              <w:t>Reprise fixée : conserver UE ≥ 50; sinon tous les EC à recomposer. Transfert et compensation externes à préciser.</w:t>
            </w:r>
          </w:p>
        </w:tc>
      </w:tr>
      <w:tr>
        <w:trPr>
          <w:cantSplit/>
        </w:trPr>
        <w:tc>
          <w:tcPr>
            <w:tcW w:type="dxa" w:w="1296"/>
            <w:vAlign w:val="center"/>
            <w:shd w:fill="FFFFFF"/>
            <w:tcMar>
              <w:top w:w="75" w:type="dxa"/>
              <w:left w:w="75" w:type="dxa"/>
              <w:bottom w:w="75" w:type="dxa"/>
              <w:right w:w="75" w:type="dxa"/>
            </w:tcMar>
          </w:tcPr>
          <w:p>
            <w:pPr>
              <w:spacing w:before="40" w:after="40"/>
            </w:pPr>
            <w:r>
              <w:rPr>
                <w:sz w:val="18"/>
              </w:rPr>
              <w:t>AR05 résolu</w:t>
            </w:r>
          </w:p>
        </w:tc>
        <w:tc>
          <w:tcPr>
            <w:tcW w:type="dxa" w:w="3024"/>
            <w:vAlign w:val="center"/>
            <w:shd w:fill="FFFFFF"/>
            <w:tcMar>
              <w:top w:w="75" w:type="dxa"/>
              <w:left w:w="75" w:type="dxa"/>
              <w:bottom w:w="75" w:type="dxa"/>
              <w:right w:w="75" w:type="dxa"/>
            </w:tcMar>
          </w:tcPr>
          <w:p>
            <w:pPr>
              <w:spacing w:before="40" w:after="40"/>
            </w:pPr>
            <w:r>
              <w:rPr>
                <w:sz w:val="18"/>
              </w:rPr>
              <w:t>Décision du jury</w:t>
            </w:r>
          </w:p>
        </w:tc>
        <w:tc>
          <w:tcPr>
            <w:tcW w:type="dxa" w:w="5760"/>
            <w:vAlign w:val="center"/>
            <w:shd w:fill="FFFFFF"/>
            <w:tcMar>
              <w:top w:w="75" w:type="dxa"/>
              <w:left w:w="75" w:type="dxa"/>
              <w:bottom w:w="75" w:type="dxa"/>
              <w:right w:w="75" w:type="dxa"/>
            </w:tcMar>
          </w:tcPr>
          <w:p>
            <w:pPr>
              <w:spacing w:before="40" w:after="40"/>
            </w:pPr>
            <w:r>
              <w:rPr>
                <w:sz w:val="18"/>
              </w:rPr>
              <w:t>Enseignant saisit et valide; agent republie; historique complet. Aucun changement automatique d’admission au nom du jury.</w:t>
            </w:r>
          </w:p>
        </w:tc>
      </w:tr>
      <w:tr>
        <w:trPr>
          <w:cantSplit/>
        </w:trPr>
        <w:tc>
          <w:tcPr>
            <w:tcW w:type="dxa" w:w="1296"/>
            <w:vAlign w:val="center"/>
            <w:shd w:fill="F1F3F6"/>
            <w:tcMar>
              <w:top w:w="75" w:type="dxa"/>
              <w:left w:w="75" w:type="dxa"/>
              <w:bottom w:w="75" w:type="dxa"/>
              <w:right w:w="75" w:type="dxa"/>
            </w:tcMar>
          </w:tcPr>
          <w:p>
            <w:pPr>
              <w:spacing w:before="40" w:after="40"/>
            </w:pPr>
            <w:r>
              <w:rPr>
                <w:sz w:val="18"/>
              </w:rPr>
              <w:t>AR06 ouvert</w:t>
            </w:r>
          </w:p>
        </w:tc>
        <w:tc>
          <w:tcPr>
            <w:tcW w:type="dxa" w:w="3024"/>
            <w:vAlign w:val="center"/>
            <w:shd w:fill="F1F3F6"/>
            <w:tcMar>
              <w:top w:w="75" w:type="dxa"/>
              <w:left w:w="75" w:type="dxa"/>
              <w:bottom w:w="75" w:type="dxa"/>
              <w:right w:w="75" w:type="dxa"/>
            </w:tcMar>
          </w:tcPr>
          <w:p>
            <w:pPr>
              <w:spacing w:before="40" w:after="40"/>
            </w:pPr>
            <w:r>
              <w:rPr>
                <w:sz w:val="18"/>
              </w:rPr>
              <w:t>Exploitation</w:t>
            </w:r>
          </w:p>
        </w:tc>
        <w:tc>
          <w:tcPr>
            <w:tcW w:type="dxa" w:w="5760"/>
            <w:vAlign w:val="center"/>
            <w:shd w:fill="F1F3F6"/>
            <w:tcMar>
              <w:top w:w="75" w:type="dxa"/>
              <w:left w:w="75" w:type="dxa"/>
              <w:bottom w:w="75" w:type="dxa"/>
              <w:right w:w="75" w:type="dxa"/>
            </w:tcMar>
          </w:tcPr>
          <w:p>
            <w:pPr>
              <w:spacing w:before="40" w:after="40"/>
            </w:pPr>
            <w:r>
              <w:rPr>
                <w:sz w:val="18"/>
              </w:rPr>
              <w:t>Heure, calendrier, fuseau, conservation des pièces, sauvegardes et performances à configurer.</w:t>
            </w:r>
          </w:p>
        </w:tc>
      </w:tr>
    </w:tbl>
    <w:p>
      <w:pPr>
        <w:pStyle w:val="Heading2"/>
      </w:pPr>
      <w:r>
        <w:t>Tables à fournir par le porteur du projet</w:t>
      </w:r>
    </w:p>
    <w:p>
      <w:r>
        <w:t>Fournir pour chaque table : nom, rôle, attributs, identifiant, références, cardinalités et contraintes. Utiliser des exemples fictifs; aucun renseignement personnel réel n’est nécessaire.</w:t>
      </w:r>
    </w:p>
    <w:p>
      <w:pPr>
        <w:pStyle w:val="Heading2"/>
      </w:pPr>
      <w:r>
        <w:t>Vérification avant implémentation</w:t>
      </w:r>
    </w:p>
    <w:p>
      <w:r>
        <w:t>Comparer les tables aux règles et aux associations UML R01 à R53. Contrôler la couverture des fonctionnalités, les notations du recueil, les références et la conservation des historiques.</w:t>
      </w:r>
    </w:p>
    <w:p>
      <w:pPr>
        <w:pStyle w:val="Heading2"/>
      </w:pPr>
      <w:r>
        <w:t>Jalon de sortie</w:t>
      </w:r>
    </w:p>
    <w:p>
      <w:r>
        <w:t>Après réception et revue des tables, finaliser les contraintes, contrats API et scénarios de test avant les migrations PostgreSQL.</w:t>
      </w:r>
    </w:p>
    <w:p>
      <w:r>
        <w:t>Statut : version 1.2, règles récentes intégrées et calculs d’un bulletin fictif vérifiés. Le modèle reste à 29 entités; les tables et contrats d’API doivent encore être finalisés. La vérification arithmétique ne constitue pas une recette d’une application implémentée.</w:t>
      </w:r>
    </w:p>
    <w:p>
      <w:pPr>
        <w:pStyle w:val="Heading1"/>
        <w:pageBreakBefore/>
      </w:pPr>
      <w:r>
        <w:t>13 Modèle de données simplifié</w:t>
      </w:r>
    </w:p>
    <w:p>
      <w:r>
        <w:t>Le modèle cible contient 29 entités au lieu de 41, soit 12 structures de moins. La simplification conserve les règles fonctionnelles du cahier. Elle constitue une proposition logique à examiner avec les tables que fournira le porteur du projet; aucun schéma SQL n’est créé.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696"/>
      </w:tblGrid>
      <w:tr>
        <w:trPr>
          <w:cantSplit/>
          <w:tblHeader/>
        </w:trPr>
        <w:tc>
          <w:tcPr>
            <w:tcW w:type="dxa" w:w="3384"/>
            <w:shd w:fill="1B2942"/>
          </w:tcPr>
          <w:p>
            <w:pPr>
              <w:spacing w:after="80" w:before="60"/>
            </w:pPr>
            <w:r>
              <w:rPr>
                <w:b/>
                <w:color w:val="FFFFFF"/>
                <w:sz w:val="19"/>
              </w:rPr>
              <w:t>Anciennes structures</w:t>
            </w:r>
          </w:p>
        </w:tc>
        <w:tc>
          <w:tcPr>
            <w:tcW w:type="dxa" w:w="6696"/>
            <w:shd w:fill="1B2942"/>
          </w:tcPr>
          <w:p>
            <w:pPr>
              <w:spacing w:after="80" w:before="60"/>
            </w:pPr>
            <w:r>
              <w:rPr>
                <w:b/>
                <w:color w:val="FFFFFF"/>
                <w:sz w:val="19"/>
              </w:rPr>
              <w:t>Traitement retenu</w:t>
            </w:r>
          </w:p>
        </w:tc>
      </w:tr>
      <w:tr>
        <w:trPr>
          <w:cantSplit/>
        </w:trPr>
        <w:tc>
          <w:tcPr>
            <w:tcW w:type="dxa" w:w="3384"/>
            <w:shd w:fill="FFFFFF"/>
          </w:tcPr>
          <w:p>
            <w:pPr>
              <w:spacing w:after="80" w:before="60"/>
            </w:pPr>
            <w:r>
              <w:rPr>
                <w:sz w:val="19"/>
              </w:rPr>
              <w:t>Agent informatique</w:t>
            </w:r>
          </w:p>
        </w:tc>
        <w:tc>
          <w:tcPr>
            <w:tcW w:type="dxa" w:w="6696"/>
            <w:shd w:fill="FFFFFF"/>
          </w:tcPr>
          <w:p>
            <w:pPr>
              <w:spacing w:after="80" w:before="60"/>
            </w:pPr>
            <w:r>
              <w:rPr>
                <w:sz w:val="19"/>
              </w:rPr>
              <w:t>Rôle AGENT dans Utilisateur. Nom et Prénom sont centralisés; Étudiant et Enseignant gardent leurs identifiants métier et attributs propres.</w:t>
            </w:r>
          </w:p>
        </w:tc>
      </w:tr>
      <w:tr>
        <w:trPr>
          <w:cantSplit/>
        </w:trPr>
        <w:tc>
          <w:tcPr>
            <w:tcW w:type="dxa" w:w="3384"/>
            <w:shd w:fill="F1F3F6"/>
          </w:tcPr>
          <w:p>
            <w:pPr>
              <w:spacing w:after="80" w:before="60"/>
            </w:pPr>
            <w:r>
              <w:rPr>
                <w:sz w:val="19"/>
              </w:rPr>
              <w:t>Choix UE et Inscription matière</w:t>
            </w:r>
          </w:p>
        </w:tc>
        <w:tc>
          <w:tcPr>
            <w:tcW w:type="dxa" w:w="6696"/>
            <w:shd w:fill="F1F3F6"/>
          </w:tcPr>
          <w:p>
            <w:pPr>
              <w:spacing w:after="80" w:before="60"/>
            </w:pPr>
            <w:r>
              <w:rPr>
                <w:sz w:val="19"/>
              </w:rPr>
              <w:t>Une Inscription UE par inscription annuelle et UE. Les matières sont déduites de cette UE, sans autorisation implicite de les réévaluer.</w:t>
            </w:r>
          </w:p>
        </w:tc>
      </w:tr>
      <w:tr>
        <w:trPr>
          <w:cantSplit/>
        </w:trPr>
        <w:tc>
          <w:tcPr>
            <w:tcW w:type="dxa" w:w="3384"/>
            <w:shd w:fill="FFFFFF"/>
          </w:tcPr>
          <w:p>
            <w:pPr>
              <w:spacing w:after="80" w:before="60"/>
            </w:pPr>
            <w:r>
              <w:rPr>
                <w:sz w:val="19"/>
              </w:rPr>
              <w:t>Exception évaluation et Ligne exception</w:t>
            </w:r>
          </w:p>
        </w:tc>
        <w:tc>
          <w:tcPr>
            <w:tcW w:type="dxa" w:w="6696"/>
            <w:shd w:fill="FFFFFF"/>
          </w:tcPr>
          <w:p>
            <w:pPr>
              <w:spacing w:after="80" w:before="60"/>
            </w:pPr>
            <w:r>
              <w:rPr>
                <w:sz w:val="19"/>
              </w:rPr>
              <w:t>Fusion avec Plan évaluation et Ligne plan. Une portée ETUDIANT et les références à la requête décidée distinguent l’exception du plan commun.</w:t>
            </w:r>
          </w:p>
        </w:tc>
      </w:tr>
      <w:tr>
        <w:trPr>
          <w:cantSplit/>
        </w:trPr>
        <w:tc>
          <w:tcPr>
            <w:tcW w:type="dxa" w:w="3384"/>
            <w:shd w:fill="F1F3F6"/>
          </w:tcPr>
          <w:p>
            <w:pPr>
              <w:spacing w:after="80" w:before="60"/>
            </w:pPr>
            <w:r>
              <w:rPr>
                <w:sz w:val="19"/>
              </w:rPr>
              <w:t>Programme et Semestre</w:t>
            </w:r>
          </w:p>
        </w:tc>
        <w:tc>
          <w:tcPr>
            <w:tcW w:type="dxa" w:w="6696"/>
            <w:shd w:fill="F1F3F6"/>
          </w:tcPr>
          <w:p>
            <w:pPr>
              <w:spacing w:after="80" w:before="60"/>
            </w:pPr>
            <w:r>
              <w:rPr>
                <w:sz w:val="19"/>
              </w:rPr>
              <w:t>Version_Programme et Numero_Semestre sur UE, liée à Niveau. Les versions de catalogue utilisées restent immuables.</w:t>
            </w:r>
          </w:p>
        </w:tc>
      </w:tr>
      <w:tr>
        <w:trPr>
          <w:cantSplit/>
        </w:trPr>
        <w:tc>
          <w:tcPr>
            <w:tcW w:type="dxa" w:w="3384"/>
            <w:shd w:fill="FFFFFF"/>
          </w:tcPr>
          <w:p>
            <w:pPr>
              <w:spacing w:after="80" w:before="60"/>
            </w:pPr>
            <w:r>
              <w:rPr>
                <w:sz w:val="19"/>
              </w:rPr>
              <w:t>Calendrier ouvrable Barème grades Règle résultat</w:t>
            </w:r>
          </w:p>
        </w:tc>
        <w:tc>
          <w:tcPr>
            <w:tcW w:type="dxa" w:w="6696"/>
            <w:shd w:fill="FFFFFF"/>
          </w:tcPr>
          <w:p>
            <w:pPr>
              <w:spacing w:after="80" w:before="60"/>
            </w:pPr>
            <w:r>
              <w:rPr>
                <w:sz w:val="19"/>
              </w:rPr>
              <w:t>Configurations versionnées avec contenu archivé. Les règles et barèmes utilisés sont copiés dans le bulletin figé.</w:t>
            </w:r>
          </w:p>
        </w:tc>
      </w:tr>
      <w:tr>
        <w:trPr>
          <w:cantSplit/>
        </w:trPr>
        <w:tc>
          <w:tcPr>
            <w:tcW w:type="dxa" w:w="3384"/>
            <w:shd w:fill="F1F3F6"/>
          </w:tcPr>
          <w:p>
            <w:pPr>
              <w:spacing w:after="80" w:before="60"/>
            </w:pPr>
            <w:r>
              <w:rPr>
                <w:sz w:val="19"/>
              </w:rPr>
              <w:t>Résultat UE Résultat matière Source résultat</w:t>
            </w:r>
          </w:p>
        </w:tc>
        <w:tc>
          <w:tcPr>
            <w:tcW w:type="dxa" w:w="6696"/>
            <w:shd w:fill="F1F3F6"/>
          </w:tcPr>
          <w:p>
            <w:pPr>
              <w:spacing w:after="80" w:before="60"/>
            </w:pPr>
            <w:r>
              <w:rPr>
                <w:sz w:val="19"/>
              </w:rPr>
              <w:t>Contenu structuré et versionné du Bulletin. Les résultats, crédits, notes sources, poids, règles et mentions EL restent explicitement conservés.</w:t>
            </w:r>
          </w:p>
        </w:tc>
      </w:tr>
    </w:tbl>
    <w:p>
      <w:pPr>
        <w:pStyle w:val="Heading2"/>
      </w:pPr>
      <w:r>
        <w:t>Données qui restent séparées</w:t>
      </w:r>
    </w:p>
    <w:p>
      <w:r>
        <w:t>Les inscriptions annuelles, les évaluations, les notes, Historique note, Requête, Justificatif, Décision requête, Publication et Bulletin restent distincts. Les demandes et décisions ne sont pas écrasées dans un simple champ de note. Une republication conserve l’ancienne version du bulletin.</w:t>
      </w:r>
    </w:p>
    <w:p>
      <w:pPr>
        <w:pStyle w:val="Heading2"/>
      </w:pPr>
      <w:r>
        <w:t>Compromis assumé</w:t>
      </w:r>
    </w:p>
    <w:p>
      <w:r>
        <w:t>Le détail figé du bulletin évite trois tables de résultats, mais exige un schéma de contenu et un contrôle applicatif des références. Les statistiques transversales détaillées seront moins simples à interroger; si elles deviennent prioritaires, ces résultats pourront être normalisés ultérieurement. Les données opérationnelles de notes restent relationnelles.</w:t>
      </w:r>
    </w:p>
    <w:p>
      <w:pPr>
        <w:pStyle w:val="Heading1"/>
        <w:pageBreakBefore/>
      </w:pPr>
      <w:r>
        <w:t>14 Entités et contraintes du modèle simplifié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64"/>
      </w:tblGrid>
      <w:tr>
        <w:trPr>
          <w:cantSplit/>
          <w:tblHeader/>
        </w:trPr>
        <w:tc>
          <w:tcPr>
            <w:tcW w:type="dxa" w:w="2016"/>
            <w:shd w:fill="1B2942"/>
          </w:tcPr>
          <w:p>
            <w:pPr>
              <w:spacing w:after="80" w:before="60"/>
            </w:pPr>
            <w:r>
              <w:rPr>
                <w:b/>
                <w:color w:val="FFFFFF"/>
                <w:sz w:val="19"/>
              </w:rPr>
              <w:t>Domaine</w:t>
            </w:r>
          </w:p>
        </w:tc>
        <w:tc>
          <w:tcPr>
            <w:tcW w:type="dxa" w:w="8064"/>
            <w:shd w:fill="1B2942"/>
          </w:tcPr>
          <w:p>
            <w:pPr>
              <w:spacing w:after="80" w:before="60"/>
            </w:pPr>
            <w:r>
              <w:rPr>
                <w:b/>
                <w:color w:val="FFFFFF"/>
                <w:sz w:val="19"/>
              </w:rPr>
              <w:t>Entités conservées</w:t>
            </w:r>
          </w:p>
        </w:tc>
      </w:tr>
      <w:tr>
        <w:trPr>
          <w:cantSplit/>
        </w:trPr>
        <w:tc>
          <w:tcPr>
            <w:tcW w:type="dxa" w:w="2016"/>
            <w:shd w:fill="FFFFFF"/>
          </w:tcPr>
          <w:p>
            <w:pPr>
              <w:spacing w:after="80" w:before="60"/>
            </w:pPr>
            <w:r>
              <w:rPr>
                <w:sz w:val="19"/>
              </w:rPr>
              <w:t>Structure 8</w:t>
            </w:r>
          </w:p>
        </w:tc>
        <w:tc>
          <w:tcPr>
            <w:tcW w:type="dxa" w:w="8064"/>
            <w:shd w:fill="FFFFFF"/>
          </w:tcPr>
          <w:p>
            <w:pPr>
              <w:spacing w:after="80" w:before="60"/>
            </w:pPr>
            <w:r>
              <w:rPr>
                <w:sz w:val="19"/>
              </w:rPr>
              <w:t>Université, Faculté, Département, Filière, Niveau, Année académique, Classe, UE</w:t>
            </w:r>
          </w:p>
        </w:tc>
      </w:tr>
      <w:tr>
        <w:trPr>
          <w:cantSplit/>
        </w:trPr>
        <w:tc>
          <w:tcPr>
            <w:tcW w:type="dxa" w:w="2016"/>
            <w:shd w:fill="F1F3F6"/>
          </w:tcPr>
          <w:p>
            <w:pPr>
              <w:spacing w:after="80" w:before="60"/>
            </w:pPr>
            <w:r>
              <w:rPr>
                <w:sz w:val="19"/>
              </w:rPr>
              <w:t>Personnes 3</w:t>
            </w:r>
          </w:p>
        </w:tc>
        <w:tc>
          <w:tcPr>
            <w:tcW w:type="dxa" w:w="8064"/>
            <w:shd w:fill="F1F3F6"/>
          </w:tcPr>
          <w:p>
            <w:pPr>
              <w:spacing w:after="80" w:before="60"/>
            </w:pPr>
            <w:r>
              <w:rPr>
                <w:sz w:val="19"/>
              </w:rPr>
              <w:t>Utilisateur, Étudiant, Enseignant</w:t>
            </w:r>
          </w:p>
        </w:tc>
      </w:tr>
      <w:tr>
        <w:trPr>
          <w:cantSplit/>
        </w:trPr>
        <w:tc>
          <w:tcPr>
            <w:tcW w:type="dxa" w:w="2016"/>
            <w:shd w:fill="FFFFFF"/>
          </w:tcPr>
          <w:p>
            <w:pPr>
              <w:spacing w:after="80" w:before="60"/>
            </w:pPr>
            <w:r>
              <w:rPr>
                <w:sz w:val="19"/>
              </w:rPr>
              <w:t>Enseignement 4</w:t>
            </w:r>
          </w:p>
        </w:tc>
        <w:tc>
          <w:tcPr>
            <w:tcW w:type="dxa" w:w="8064"/>
            <w:shd w:fill="FFFFFF"/>
          </w:tcPr>
          <w:p>
            <w:pPr>
              <w:spacing w:after="80" w:before="60"/>
            </w:pPr>
            <w:r>
              <w:rPr>
                <w:sz w:val="19"/>
              </w:rPr>
              <w:t>Matière, Inscription de classe, Inscription UE, Affectation</w:t>
            </w:r>
          </w:p>
        </w:tc>
      </w:tr>
      <w:tr>
        <w:trPr>
          <w:cantSplit/>
        </w:trPr>
        <w:tc>
          <w:tcPr>
            <w:tcW w:type="dxa" w:w="2016"/>
            <w:shd w:fill="F1F3F6"/>
          </w:tcPr>
          <w:p>
            <w:pPr>
              <w:spacing w:after="80" w:before="60"/>
            </w:pPr>
            <w:r>
              <w:rPr>
                <w:sz w:val="19"/>
              </w:rPr>
              <w:t>Évaluations 5</w:t>
            </w:r>
          </w:p>
        </w:tc>
        <w:tc>
          <w:tcPr>
            <w:tcW w:type="dxa" w:w="8064"/>
            <w:shd w:fill="F1F3F6"/>
          </w:tcPr>
          <w:p>
            <w:pPr>
              <w:spacing w:after="80" w:before="60"/>
            </w:pPr>
            <w:r>
              <w:rPr>
                <w:sz w:val="19"/>
              </w:rPr>
              <w:t>Évaluation, Plan évaluation, Ligne plan, Note, Historique note</w:t>
            </w:r>
          </w:p>
        </w:tc>
      </w:tr>
      <w:tr>
        <w:trPr>
          <w:cantSplit/>
        </w:trPr>
        <w:tc>
          <w:tcPr>
            <w:tcW w:type="dxa" w:w="2016"/>
            <w:shd w:fill="FFFFFF"/>
          </w:tcPr>
          <w:p>
            <w:pPr>
              <w:spacing w:after="80" w:before="60"/>
            </w:pPr>
            <w:r>
              <w:rPr>
                <w:sz w:val="19"/>
              </w:rPr>
              <w:t>Demandes 5</w:t>
            </w:r>
          </w:p>
        </w:tc>
        <w:tc>
          <w:tcPr>
            <w:tcW w:type="dxa" w:w="8064"/>
            <w:shd w:fill="FFFFFF"/>
          </w:tcPr>
          <w:p>
            <w:pPr>
              <w:spacing w:after="80" w:before="60"/>
            </w:pPr>
            <w:r>
              <w:rPr>
                <w:sz w:val="19"/>
              </w:rPr>
              <w:t>Requête, Justificatif, Décision requête, Session rattrapage, Candidature rattrapage</w:t>
            </w:r>
          </w:p>
        </w:tc>
      </w:tr>
      <w:tr>
        <w:trPr>
          <w:cantSplit/>
        </w:trPr>
        <w:tc>
          <w:tcPr>
            <w:tcW w:type="dxa" w:w="2016"/>
            <w:shd w:fill="F1F3F6"/>
          </w:tcPr>
          <w:p>
            <w:pPr>
              <w:spacing w:after="80" w:before="60"/>
            </w:pPr>
            <w:r>
              <w:rPr>
                <w:sz w:val="19"/>
              </w:rPr>
              <w:t>Diffusion et suivi 4</w:t>
            </w:r>
          </w:p>
        </w:tc>
        <w:tc>
          <w:tcPr>
            <w:tcW w:type="dxa" w:w="8064"/>
            <w:shd w:fill="F1F3F6"/>
          </w:tcPr>
          <w:p>
            <w:pPr>
              <w:spacing w:after="80" w:before="60"/>
            </w:pPr>
            <w:r>
              <w:rPr>
                <w:sz w:val="19"/>
              </w:rPr>
              <w:t>Publication, Bulletin, Notification, Journal audit</w:t>
            </w:r>
          </w:p>
        </w:tc>
      </w:tr>
    </w:tbl>
    <w:p>
      <w:r>
        <w:t>Les codes du recueil sont conservés. Nom_Enseignant et Prénom_Enseignant deviennent les libellés du nom commun dans l’interface; ils ne sont plus stockés en double. EID et Matricule restent uniques. Un utilisateur publicateur doit avoir le rôle AGENT.</w:t>
      </w:r>
    </w:p>
    <w:p>
      <w:pPr>
        <w:pStyle w:val="Heading2"/>
      </w:pPr>
      <w:r>
        <w:t>Plans et inscriptions</w:t>
      </w:r>
    </w:p>
    <w:p>
      <w:r>
        <w:t>Un plan CLASSE possède une affectation sans inscription individuelle, décision ni plan parent. Un plan ETUDIANT possède obligatoirement une Inscription UE, une Décision requête approuvée et un plan commun de même affectation. La requête concerne le même étudiant et la même matière. Aucun cycle ni parent individuel n’est autorisé.</w:t>
      </w:r>
    </w:p>
    <w:p>
      <w:r>
        <w:t>Une seule version active existe par affectation et portée, et aussi par Inscription UE pour une exception. Les poids retenus totalisent 100 %. Une Note est unique par Inscription UE et Évaluation. L’évaluation doit viser une matière de l’UE et la classe de l’inscription. Une inscription annuelle et une UE ne peuvent avoir deux inscriptions UE actives identiques.</w:t>
      </w:r>
    </w:p>
    <w:p>
      <w:pPr>
        <w:pStyle w:val="Heading2"/>
      </w:pPr>
      <w:r>
        <w:t>Contenu figé du bulletin</w:t>
      </w:r>
    </w:p>
    <w:p>
      <w:r>
        <w:t>Contenu_Fige possède une version de schéma. Il conserve les UE et matières, leurs crédits, les notes brutes et arrondies, les grades, points et EL; pour chaque contribution : identifiant et version de note, évaluation, valeur et poids. Il copie les plans effectifs et les règles de calcul et barèmes applicables avec leur version. Ces données sont immuables après publication.</w:t>
      </w:r>
    </w:p>
    <w:p>
      <w:r>
        <w:t>Les identifiants des sources restent contrôlés par l’application et les versions de notes ne sont pas supprimées. Une Candidature rattrapage référence le Bulletin source et la SN d’origine; son résultat matière source est retrouvé dans le contenu figé. Les versions du catalogue et du calendrier restent archivées et référencées.</w:t>
      </w:r>
    </w:p>
    <w:p>
      <w:pPr>
        <w:pStyle w:val="Heading2"/>
      </w:pPr>
      <w:r>
        <w:t>Vérifications complémentaires</w:t>
      </w:r>
    </w:p>
    <w:p>
      <w:r>
        <w:t>Vérifier qu’un plan individuel sans décision est refusé, qu’une matière extérieure à l’UE ne reçoit pas de note, qu’un changement de configuration ne modifie pas un ancien bulletin, et qu’une UE EL bloque toujours l’admission même avec une MGP de 3. Les 21 scénarios de recette précédents restent applicables.</w:t>
      </w:r>
    </w:p>
    <w:p>
      <w:pPr>
        <w:pStyle w:val="Heading1"/>
        <w:pageBreakBefore/>
      </w:pPr>
      <w:r>
        <w:t>15 Décisions confirmées et contrôles associés</w:t>
      </w:r>
    </w:p>
    <w:p>
      <w:r>
        <w:t>Ces règles sont intégrées aux sections fonctionnelles. Elles priment sur les formulations antérieures des autres documents. Les identifiants ci-dessous permettent leur suivi dans les futures tables et les tests.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shd w:fill="1B2942"/>
          </w:tcPr>
          <w:p>
            <w:pPr>
              <w:spacing w:after="80" w:before="60"/>
            </w:pPr>
            <w:r>
              <w:rPr>
                <w:b/>
                <w:color w:val="FFFFFF"/>
                <w:sz w:val="19"/>
              </w:rPr>
              <w:t>Règle</w:t>
            </w:r>
          </w:p>
        </w:tc>
        <w:tc>
          <w:tcPr>
            <w:tcW w:type="dxa" w:w="7704"/>
            <w:shd w:fill="1B2942"/>
          </w:tcPr>
          <w:p>
            <w:pPr>
              <w:spacing w:after="80" w:before="60"/>
            </w:pPr>
            <w:r>
              <w:rPr>
                <w:b/>
                <w:color w:val="FFFFFF"/>
                <w:sz w:val="19"/>
              </w:rPr>
              <w:t>Contrôle attendu</w:t>
            </w:r>
          </w:p>
        </w:tc>
      </w:tr>
      <w:tr>
        <w:trPr>
          <w:cantSplit/>
        </w:trPr>
        <w:tc>
          <w:tcPr>
            <w:tcW w:type="dxa" w:w="2376"/>
            <w:shd w:fill="FFFFFF"/>
          </w:tcPr>
          <w:p>
            <w:pPr>
              <w:spacing w:after="80" w:before="60"/>
            </w:pPr>
            <w:r>
              <w:rPr>
                <w:sz w:val="19"/>
              </w:rPr>
              <w:t>RG12 EL dans la MGP</w:t>
            </w:r>
          </w:p>
        </w:tc>
        <w:tc>
          <w:tcPr>
            <w:tcW w:type="dxa" w:w="7704"/>
            <w:shd w:fill="FFFFFF"/>
          </w:tcPr>
          <w:p>
            <w:pPr>
              <w:spacing w:after="80" w:before="60"/>
            </w:pPr>
            <w:r>
              <w:rPr>
                <w:sz w:val="19"/>
              </w:rPr>
              <w:t>UE EL : 0 point, crédits inclus, EL affiché; échec même si MGP ≥ 2.</w:t>
            </w:r>
          </w:p>
        </w:tc>
      </w:tr>
      <w:tr>
        <w:trPr>
          <w:cantSplit/>
        </w:trPr>
        <w:tc>
          <w:tcPr>
            <w:tcW w:type="dxa" w:w="2376"/>
            <w:shd w:fill="F1F3F6"/>
          </w:tcPr>
          <w:p>
            <w:pPr>
              <w:spacing w:after="80" w:before="60"/>
            </w:pPr>
            <w:r>
              <w:rPr>
                <w:sz w:val="19"/>
              </w:rPr>
              <w:t>RG13 Fenêtre de requête</w:t>
            </w:r>
          </w:p>
        </w:tc>
        <w:tc>
          <w:tcPr>
            <w:tcW w:type="dxa" w:w="7704"/>
            <w:shd w:fill="F1F3F6"/>
          </w:tcPr>
          <w:p>
            <w:pPr>
              <w:spacing w:after="80" w:before="60"/>
            </w:pPr>
            <w:r>
              <w:rPr>
                <w:sz w:val="19"/>
              </w:rPr>
              <w:t>Publication vendredi à 14 h : échéance dimanche à 14 h. Une note corrigée republiée ouvre sa propre fenêtre de 48 h.</w:t>
            </w:r>
          </w:p>
        </w:tc>
      </w:tr>
      <w:tr>
        <w:trPr>
          <w:cantSplit/>
        </w:trPr>
        <w:tc>
          <w:tcPr>
            <w:tcW w:type="dxa" w:w="2376"/>
            <w:shd w:fill="FFFFFF"/>
          </w:tcPr>
          <w:p>
            <w:pPr>
              <w:spacing w:after="80" w:before="60"/>
            </w:pPr>
            <w:r>
              <w:rPr>
                <w:sz w:val="19"/>
              </w:rPr>
              <w:t>RG14 Tentative unique</w:t>
            </w:r>
          </w:p>
        </w:tc>
        <w:tc>
          <w:tcPr>
            <w:tcW w:type="dxa" w:w="7704"/>
            <w:shd w:fill="FFFFFF"/>
          </w:tcPr>
          <w:p>
            <w:pPr>
              <w:spacing w:after="80" w:before="60"/>
            </w:pPr>
            <w:r>
              <w:rPr>
                <w:sz w:val="19"/>
              </w:rPr>
              <w:t>Un seul rattrapage par EC et année, tous types concernés confondus. Refuser un second rattrapage, même sur nouvelle requête.</w:t>
            </w:r>
          </w:p>
        </w:tc>
      </w:tr>
      <w:tr>
        <w:trPr>
          <w:cantSplit/>
        </w:trPr>
        <w:tc>
          <w:tcPr>
            <w:tcW w:type="dxa" w:w="2376"/>
            <w:shd w:fill="F1F3F6"/>
          </w:tcPr>
          <w:p>
            <w:pPr>
              <w:spacing w:after="80" w:before="60"/>
            </w:pPr>
            <w:r>
              <w:rPr>
                <w:sz w:val="19"/>
              </w:rPr>
              <w:t>RG15 Reprise annuelle</w:t>
            </w:r>
          </w:p>
        </w:tc>
        <w:tc>
          <w:tcPr>
            <w:tcW w:type="dxa" w:w="7704"/>
            <w:shd w:fill="F1F3F6"/>
          </w:tcPr>
          <w:p>
            <w:pPr>
              <w:spacing w:after="80" w:before="60"/>
            </w:pPr>
            <w:r>
              <w:rPr>
                <w:sz w:val="19"/>
              </w:rPr>
              <w:t>UE arrondie ≥ 50 conservée. UE &lt; 50 ou EL reprise dans tous ses EC, même si un EC avait atteint 50.</w:t>
            </w:r>
          </w:p>
        </w:tc>
      </w:tr>
      <w:tr>
        <w:trPr>
          <w:cantSplit/>
        </w:trPr>
        <w:tc>
          <w:tcPr>
            <w:tcW w:type="dxa" w:w="2376"/>
            <w:shd w:fill="FFFFFF"/>
          </w:tcPr>
          <w:p>
            <w:pPr>
              <w:spacing w:after="80" w:before="60"/>
            </w:pPr>
            <w:r>
              <w:rPr>
                <w:sz w:val="19"/>
              </w:rPr>
              <w:t>RG16 Historique et jury</w:t>
            </w:r>
          </w:p>
        </w:tc>
        <w:tc>
          <w:tcPr>
            <w:tcW w:type="dxa" w:w="7704"/>
            <w:shd w:fill="FFFFFF"/>
          </w:tcPr>
          <w:p>
            <w:pPr>
              <w:spacing w:after="80" w:before="60"/>
            </w:pPr>
            <w:r>
              <w:rPr>
                <w:sz w:val="19"/>
              </w:rPr>
              <w:t>Enseignant auteur de saisie et validation; agent publicateur. Historiser toute modification et son motif, y compris jury.</w:t>
            </w:r>
          </w:p>
        </w:tc>
      </w:tr>
    </w:tbl>
    <w:p>
      <w:pPr>
        <w:pStyle w:val="Heading2"/>
      </w:pPr>
      <w:r>
        <w:t>Données à prévoir lors de la revue des tables</w:t>
      </w:r>
    </w:p>
    <w:p>
      <w:r>
        <w:t>Conserver l’horodatage de chaque publication et la version contestée par une requête. Contrôler le nombre de rattrapages à l’échelle étudiant, EC et année, même si plusieurs évaluations ou publications existent. Garder le lien entre décision du jury, motif de correction et version de note, sans créer un rôle de validation supplémentaire.</w:t>
      </w:r>
    </w:p>
    <w:p>
      <w:r>
        <w:t>L’inscription annuelle distingue les UE conservées de celles à reprendre. Une UE conservée référence son résultat antérieur; une UE reprise exige de nouvelles évaluations pour tous ses EC. Ces exigences seront traduites en attributs et contraintes lors de la revue, sans ajout de tables imposé ici.</w:t>
      </w:r>
    </w:p>
    <w:p>
      <w:pPr>
        <w:pStyle w:val="Heading2"/>
      </w:pPr>
      <w:r>
        <w:t>Limites de la vérification</w:t>
      </w:r>
    </w:p>
    <w:p>
      <w:r>
        <w:t>Le bulletin suivant couvre les formules et les seuils. Les délais, habilitations, écritures concurrentes et historiques restent des tests à réaliser sur l’application future. Les chiffres et codes sont fictifs, sans prétendre reproduire le programme ou le PV fourni.</w:t>
      </w:r>
    </w:p>
    <w:p>
      <w:pPr>
        <w:pStyle w:val="Heading1"/>
        <w:pageBreakBefore/>
      </w:pPr>
      <w:r>
        <w:t>16 Bulletin annuel de vérification</w:t>
      </w:r>
    </w:p>
    <w:p>
      <w:r>
        <w:t>GNU • Étudiant fictif TEST001 • Camille Exemple • Filière de démonstration • Niveau L3 • Classe L3 DEMO • Année 2025–2026 • Session normale • Bulletin de calcul v1. Les six UE ci-dessous représentent tout le parcours de démonstration, soit 30 crédits; elles ne reproduisent pas un programme officiel.</w:t>
      </w:r>
    </w:p>
    <w:p>
      <w:pPr>
        <w:pStyle w:val="Heading2"/>
      </w:pPr>
      <w:r>
        <w:t>Notes sources et résultats des EC</w:t>
      </w:r>
    </w:p>
    <w:p>
      <w:r>
        <w:t>Pour cet exemple seulement, chaque enseignant retient CC 30 %, TP 20 % et SN 50 %. Chaque note est sur 100. Le plan est commun à la classe pour chaque EC; aucune exception individuelle n’est utilisée. Ces poids sont des données de simulation, pas une règle imposée.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864"/>
        <w:gridCol w:w="1296"/>
        <w:gridCol w:w="1296"/>
        <w:gridCol w:w="1296"/>
        <w:gridCol w:w="2016"/>
        <w:gridCol w:w="1872"/>
      </w:tblGrid>
      <w:tr>
        <w:trPr>
          <w:cantSplit/>
          <w:tblHeader/>
        </w:trPr>
        <w:tc>
          <w:tcPr>
            <w:tcW w:type="dxa" w:w="1440"/>
            <w:shd w:fill="1B2942"/>
          </w:tcPr>
          <w:p>
            <w:pPr>
              <w:spacing w:after="80" w:before="60"/>
            </w:pPr>
            <w:r>
              <w:rPr>
                <w:b/>
                <w:color w:val="FFFFFF"/>
                <w:sz w:val="19"/>
              </w:rPr>
              <w:t>EC</w:t>
            </w:r>
          </w:p>
        </w:tc>
        <w:tc>
          <w:tcPr>
            <w:tcW w:type="dxa" w:w="864"/>
            <w:shd w:fill="1B2942"/>
          </w:tcPr>
          <w:p>
            <w:pPr>
              <w:spacing w:after="80" w:before="60"/>
            </w:pPr>
            <w:r>
              <w:rPr>
                <w:b/>
                <w:color w:val="FFFFFF"/>
                <w:sz w:val="19"/>
              </w:rPr>
              <w:t>Coef.</w:t>
            </w:r>
          </w:p>
        </w:tc>
        <w:tc>
          <w:tcPr>
            <w:tcW w:type="dxa" w:w="1296"/>
            <w:shd w:fill="1B2942"/>
          </w:tcPr>
          <w:p>
            <w:pPr>
              <w:spacing w:after="80" w:before="60"/>
            </w:pPr>
            <w:r>
              <w:rPr>
                <w:b/>
                <w:color w:val="FFFFFF"/>
                <w:sz w:val="19"/>
              </w:rPr>
              <w:t>CC</w:t>
            </w:r>
          </w:p>
        </w:tc>
        <w:tc>
          <w:tcPr>
            <w:tcW w:type="dxa" w:w="1296"/>
            <w:shd w:fill="1B2942"/>
          </w:tcPr>
          <w:p>
            <w:pPr>
              <w:spacing w:after="80" w:before="60"/>
            </w:pPr>
            <w:r>
              <w:rPr>
                <w:b/>
                <w:color w:val="FFFFFF"/>
                <w:sz w:val="19"/>
              </w:rPr>
              <w:t>TP</w:t>
            </w:r>
          </w:p>
        </w:tc>
        <w:tc>
          <w:tcPr>
            <w:tcW w:type="dxa" w:w="1296"/>
            <w:shd w:fill="1B2942"/>
          </w:tcPr>
          <w:p>
            <w:pPr>
              <w:spacing w:after="80" w:before="60"/>
            </w:pPr>
            <w:r>
              <w:rPr>
                <w:b/>
                <w:color w:val="FFFFFF"/>
                <w:sz w:val="19"/>
              </w:rPr>
              <w:t>SN</w:t>
            </w:r>
          </w:p>
        </w:tc>
        <w:tc>
          <w:tcPr>
            <w:tcW w:type="dxa" w:w="2016"/>
            <w:shd w:fill="1B2942"/>
          </w:tcPr>
          <w:p>
            <w:pPr>
              <w:spacing w:after="80" w:before="60"/>
            </w:pPr>
            <w:r>
              <w:rPr>
                <w:b/>
                <w:color w:val="FFFFFF"/>
                <w:sz w:val="19"/>
              </w:rPr>
              <w:t>Brut</w:t>
            </w:r>
          </w:p>
        </w:tc>
        <w:tc>
          <w:tcPr>
            <w:tcW w:type="dxa" w:w="1872"/>
            <w:shd w:fill="1B2942"/>
          </w:tcPr>
          <w:p>
            <w:pPr>
              <w:spacing w:after="80" w:before="60"/>
            </w:pPr>
            <w:r>
              <w:rPr>
                <w:b/>
                <w:color w:val="FFFFFF"/>
                <w:sz w:val="19"/>
              </w:rPr>
              <w:t>Arrondi</w:t>
            </w:r>
          </w:p>
        </w:tc>
      </w:tr>
      <w:tr>
        <w:trPr>
          <w:cantSplit/>
        </w:trPr>
        <w:tc>
          <w:tcPr>
            <w:tcW w:type="dxa" w:w="1440"/>
            <w:shd w:fill="FFFFFF"/>
          </w:tcPr>
          <w:p>
            <w:pPr>
              <w:spacing w:after="80" w:before="60"/>
            </w:pPr>
            <w:r>
              <w:rPr>
                <w:sz w:val="19"/>
              </w:rPr>
              <w:t>D101a</w:t>
            </w:r>
          </w:p>
        </w:tc>
        <w:tc>
          <w:tcPr>
            <w:tcW w:type="dxa" w:w="864"/>
            <w:shd w:fill="FFFFFF"/>
          </w:tcPr>
          <w:p>
            <w:pPr>
              <w:spacing w:after="80" w:before="60"/>
            </w:pPr>
            <w:r>
              <w:rPr>
                <w:sz w:val="19"/>
              </w:rPr>
              <w:t>1</w:t>
            </w:r>
          </w:p>
        </w:tc>
        <w:tc>
          <w:tcPr>
            <w:tcW w:type="dxa" w:w="1296"/>
            <w:shd w:fill="FFFFFF"/>
          </w:tcPr>
          <w:p>
            <w:pPr>
              <w:spacing w:after="80" w:before="60"/>
            </w:pPr>
            <w:r>
              <w:rPr>
                <w:sz w:val="19"/>
              </w:rPr>
              <w:t>40</w:t>
            </w:r>
          </w:p>
        </w:tc>
        <w:tc>
          <w:tcPr>
            <w:tcW w:type="dxa" w:w="1296"/>
            <w:shd w:fill="FFFFFF"/>
          </w:tcPr>
          <w:p>
            <w:pPr>
              <w:spacing w:after="80" w:before="60"/>
            </w:pPr>
            <w:r>
              <w:rPr>
                <w:sz w:val="19"/>
              </w:rPr>
              <w:t>50</w:t>
            </w:r>
          </w:p>
        </w:tc>
        <w:tc>
          <w:tcPr>
            <w:tcW w:type="dxa" w:w="1296"/>
            <w:shd w:fill="FFFFFF"/>
          </w:tcPr>
          <w:p>
            <w:pPr>
              <w:spacing w:after="80" w:before="60"/>
            </w:pPr>
            <w:r>
              <w:rPr>
                <w:sz w:val="19"/>
              </w:rPr>
              <w:t>54,4</w:t>
            </w:r>
          </w:p>
        </w:tc>
        <w:tc>
          <w:tcPr>
            <w:tcW w:type="dxa" w:w="2016"/>
            <w:shd w:fill="FFFFFF"/>
          </w:tcPr>
          <w:p>
            <w:pPr>
              <w:spacing w:after="80" w:before="60"/>
            </w:pPr>
            <w:r>
              <w:rPr>
                <w:sz w:val="19"/>
              </w:rPr>
              <w:t>49,2</w:t>
            </w:r>
          </w:p>
        </w:tc>
        <w:tc>
          <w:tcPr>
            <w:tcW w:type="dxa" w:w="1872"/>
            <w:shd w:fill="FFFFFF"/>
          </w:tcPr>
          <w:p>
            <w:pPr>
              <w:spacing w:after="80" w:before="60"/>
            </w:pPr>
            <w:r>
              <w:rPr>
                <w:sz w:val="19"/>
              </w:rPr>
              <w:t>50</w:t>
            </w:r>
          </w:p>
        </w:tc>
      </w:tr>
      <w:tr>
        <w:trPr>
          <w:cantSplit/>
        </w:trPr>
        <w:tc>
          <w:tcPr>
            <w:tcW w:type="dxa" w:w="1440"/>
            <w:shd w:fill="F1F3F6"/>
          </w:tcPr>
          <w:p>
            <w:pPr>
              <w:spacing w:after="80" w:before="60"/>
            </w:pPr>
            <w:r>
              <w:rPr>
                <w:sz w:val="19"/>
              </w:rPr>
              <w:t>D101b</w:t>
            </w:r>
          </w:p>
        </w:tc>
        <w:tc>
          <w:tcPr>
            <w:tcW w:type="dxa" w:w="864"/>
            <w:shd w:fill="F1F3F6"/>
          </w:tcPr>
          <w:p>
            <w:pPr>
              <w:spacing w:after="80" w:before="60"/>
            </w:pPr>
            <w:r>
              <w:rPr>
                <w:sz w:val="19"/>
              </w:rPr>
              <w:t>2</w:t>
            </w:r>
          </w:p>
        </w:tc>
        <w:tc>
          <w:tcPr>
            <w:tcW w:type="dxa" w:w="1296"/>
            <w:shd w:fill="F1F3F6"/>
          </w:tcPr>
          <w:p>
            <w:pPr>
              <w:spacing w:after="80" w:before="60"/>
            </w:pPr>
            <w:r>
              <w:rPr>
                <w:sz w:val="19"/>
              </w:rPr>
              <w:t>60,1</w:t>
            </w:r>
          </w:p>
        </w:tc>
        <w:tc>
          <w:tcPr>
            <w:tcW w:type="dxa" w:w="1296"/>
            <w:shd w:fill="F1F3F6"/>
          </w:tcPr>
          <w:p>
            <w:pPr>
              <w:spacing w:after="80" w:before="60"/>
            </w:pPr>
            <w:r>
              <w:rPr>
                <w:sz w:val="19"/>
              </w:rPr>
              <w:t>60,1</w:t>
            </w:r>
          </w:p>
        </w:tc>
        <w:tc>
          <w:tcPr>
            <w:tcW w:type="dxa" w:w="1296"/>
            <w:shd w:fill="F1F3F6"/>
          </w:tcPr>
          <w:p>
            <w:pPr>
              <w:spacing w:after="80" w:before="60"/>
            </w:pPr>
            <w:r>
              <w:rPr>
                <w:sz w:val="19"/>
              </w:rPr>
              <w:t>60,1</w:t>
            </w:r>
          </w:p>
        </w:tc>
        <w:tc>
          <w:tcPr>
            <w:tcW w:type="dxa" w:w="2016"/>
            <w:shd w:fill="F1F3F6"/>
          </w:tcPr>
          <w:p>
            <w:pPr>
              <w:spacing w:after="80" w:before="60"/>
            </w:pPr>
            <w:r>
              <w:rPr>
                <w:sz w:val="19"/>
              </w:rPr>
              <w:t>60,1</w:t>
            </w:r>
          </w:p>
        </w:tc>
        <w:tc>
          <w:tcPr>
            <w:tcW w:type="dxa" w:w="1872"/>
            <w:shd w:fill="F1F3F6"/>
          </w:tcPr>
          <w:p>
            <w:pPr>
              <w:spacing w:after="80" w:before="60"/>
            </w:pPr>
            <w:r>
              <w:rPr>
                <w:sz w:val="19"/>
              </w:rPr>
              <w:t>61</w:t>
            </w:r>
          </w:p>
        </w:tc>
      </w:tr>
      <w:tr>
        <w:trPr>
          <w:cantSplit/>
        </w:trPr>
        <w:tc>
          <w:tcPr>
            <w:tcW w:type="dxa" w:w="1440"/>
            <w:shd w:fill="FFFFFF"/>
          </w:tcPr>
          <w:p>
            <w:pPr>
              <w:spacing w:after="80" w:before="60"/>
            </w:pPr>
            <w:r>
              <w:rPr>
                <w:sz w:val="19"/>
              </w:rPr>
              <w:t>D102a</w:t>
            </w:r>
          </w:p>
        </w:tc>
        <w:tc>
          <w:tcPr>
            <w:tcW w:type="dxa" w:w="864"/>
            <w:shd w:fill="FFFFFF"/>
          </w:tcPr>
          <w:p>
            <w:pPr>
              <w:spacing w:after="80" w:before="60"/>
            </w:pPr>
            <w:r>
              <w:rPr>
                <w:sz w:val="19"/>
              </w:rPr>
              <w:t>1</w:t>
            </w:r>
          </w:p>
        </w:tc>
        <w:tc>
          <w:tcPr>
            <w:tcW w:type="dxa" w:w="1296"/>
            <w:shd w:fill="FFFFFF"/>
          </w:tcPr>
          <w:p>
            <w:pPr>
              <w:spacing w:after="80" w:before="60"/>
            </w:pPr>
            <w:r>
              <w:rPr>
                <w:sz w:val="19"/>
              </w:rPr>
              <w:t>34</w:t>
            </w:r>
          </w:p>
        </w:tc>
        <w:tc>
          <w:tcPr>
            <w:tcW w:type="dxa" w:w="1296"/>
            <w:shd w:fill="FFFFFF"/>
          </w:tcPr>
          <w:p>
            <w:pPr>
              <w:spacing w:after="80" w:before="60"/>
            </w:pPr>
            <w:r>
              <w:rPr>
                <w:sz w:val="19"/>
              </w:rPr>
              <w:t>34</w:t>
            </w:r>
          </w:p>
        </w:tc>
        <w:tc>
          <w:tcPr>
            <w:tcW w:type="dxa" w:w="1296"/>
            <w:shd w:fill="FFFFFF"/>
          </w:tcPr>
          <w:p>
            <w:pPr>
              <w:spacing w:after="80" w:before="60"/>
            </w:pPr>
            <w:r>
              <w:rPr>
                <w:sz w:val="19"/>
              </w:rPr>
              <w:t>34</w:t>
            </w:r>
          </w:p>
        </w:tc>
        <w:tc>
          <w:tcPr>
            <w:tcW w:type="dxa" w:w="2016"/>
            <w:shd w:fill="FFFFFF"/>
          </w:tcPr>
          <w:p>
            <w:pPr>
              <w:spacing w:after="80" w:before="60"/>
            </w:pPr>
            <w:r>
              <w:rPr>
                <w:sz w:val="19"/>
              </w:rPr>
              <w:t>34</w:t>
            </w:r>
          </w:p>
        </w:tc>
        <w:tc>
          <w:tcPr>
            <w:tcW w:type="dxa" w:w="1872"/>
            <w:shd w:fill="FFFFFF"/>
          </w:tcPr>
          <w:p>
            <w:pPr>
              <w:spacing w:after="80" w:before="60"/>
            </w:pPr>
            <w:r>
              <w:rPr>
                <w:sz w:val="19"/>
              </w:rPr>
              <w:t>34</w:t>
            </w:r>
          </w:p>
        </w:tc>
      </w:tr>
      <w:tr>
        <w:trPr>
          <w:cantSplit/>
        </w:trPr>
        <w:tc>
          <w:tcPr>
            <w:tcW w:type="dxa" w:w="1440"/>
            <w:shd w:fill="F1F3F6"/>
          </w:tcPr>
          <w:p>
            <w:pPr>
              <w:spacing w:after="80" w:before="60"/>
            </w:pPr>
            <w:r>
              <w:rPr>
                <w:sz w:val="19"/>
              </w:rPr>
              <w:t>D102b</w:t>
            </w:r>
          </w:p>
        </w:tc>
        <w:tc>
          <w:tcPr>
            <w:tcW w:type="dxa" w:w="864"/>
            <w:shd w:fill="F1F3F6"/>
          </w:tcPr>
          <w:p>
            <w:pPr>
              <w:spacing w:after="80" w:before="60"/>
            </w:pPr>
            <w:r>
              <w:rPr>
                <w:sz w:val="19"/>
              </w:rPr>
              <w:t>1</w:t>
            </w:r>
          </w:p>
        </w:tc>
        <w:tc>
          <w:tcPr>
            <w:tcW w:type="dxa" w:w="1296"/>
            <w:shd w:fill="F1F3F6"/>
          </w:tcPr>
          <w:p>
            <w:pPr>
              <w:spacing w:after="80" w:before="60"/>
            </w:pPr>
            <w:r>
              <w:rPr>
                <w:sz w:val="19"/>
              </w:rPr>
              <w:t>70</w:t>
            </w:r>
          </w:p>
        </w:tc>
        <w:tc>
          <w:tcPr>
            <w:tcW w:type="dxa" w:w="1296"/>
            <w:shd w:fill="F1F3F6"/>
          </w:tcPr>
          <w:p>
            <w:pPr>
              <w:spacing w:after="80" w:before="60"/>
            </w:pPr>
            <w:r>
              <w:rPr>
                <w:sz w:val="19"/>
              </w:rPr>
              <w:t>70</w:t>
            </w:r>
          </w:p>
        </w:tc>
        <w:tc>
          <w:tcPr>
            <w:tcW w:type="dxa" w:w="1296"/>
            <w:shd w:fill="F1F3F6"/>
          </w:tcPr>
          <w:p>
            <w:pPr>
              <w:spacing w:after="80" w:before="60"/>
            </w:pPr>
            <w:r>
              <w:rPr>
                <w:sz w:val="19"/>
              </w:rPr>
              <w:t>70</w:t>
            </w:r>
          </w:p>
        </w:tc>
        <w:tc>
          <w:tcPr>
            <w:tcW w:type="dxa" w:w="2016"/>
            <w:shd w:fill="F1F3F6"/>
          </w:tcPr>
          <w:p>
            <w:pPr>
              <w:spacing w:after="80" w:before="60"/>
            </w:pPr>
            <w:r>
              <w:rPr>
                <w:sz w:val="19"/>
              </w:rPr>
              <w:t>70</w:t>
            </w:r>
          </w:p>
        </w:tc>
        <w:tc>
          <w:tcPr>
            <w:tcW w:type="dxa" w:w="1872"/>
            <w:shd w:fill="F1F3F6"/>
          </w:tcPr>
          <w:p>
            <w:pPr>
              <w:spacing w:after="80" w:before="60"/>
            </w:pPr>
            <w:r>
              <w:rPr>
                <w:sz w:val="19"/>
              </w:rPr>
              <w:t>70</w:t>
            </w:r>
          </w:p>
        </w:tc>
      </w:tr>
      <w:tr>
        <w:trPr>
          <w:cantSplit/>
        </w:trPr>
        <w:tc>
          <w:tcPr>
            <w:tcW w:type="dxa" w:w="1440"/>
            <w:shd w:fill="FFFFFF"/>
          </w:tcPr>
          <w:p>
            <w:pPr>
              <w:spacing w:after="80" w:before="60"/>
            </w:pPr>
            <w:r>
              <w:rPr>
                <w:sz w:val="19"/>
              </w:rPr>
              <w:t>D103a</w:t>
            </w:r>
          </w:p>
        </w:tc>
        <w:tc>
          <w:tcPr>
            <w:tcW w:type="dxa" w:w="864"/>
            <w:shd w:fill="FFFFFF"/>
          </w:tcPr>
          <w:p>
            <w:pPr>
              <w:spacing w:after="80" w:before="60"/>
            </w:pPr>
            <w:r>
              <w:rPr>
                <w:sz w:val="19"/>
              </w:rPr>
              <w:t>1</w:t>
            </w:r>
          </w:p>
        </w:tc>
        <w:tc>
          <w:tcPr>
            <w:tcW w:type="dxa" w:w="1296"/>
            <w:shd w:fill="FFFFFF"/>
          </w:tcPr>
          <w:p>
            <w:pPr>
              <w:spacing w:after="80" w:before="60"/>
            </w:pPr>
            <w:r>
              <w:rPr>
                <w:sz w:val="19"/>
              </w:rPr>
              <w:t>40</w:t>
            </w:r>
          </w:p>
        </w:tc>
        <w:tc>
          <w:tcPr>
            <w:tcW w:type="dxa" w:w="1296"/>
            <w:shd w:fill="FFFFFF"/>
          </w:tcPr>
          <w:p>
            <w:pPr>
              <w:spacing w:after="80" w:before="60"/>
            </w:pPr>
            <w:r>
              <w:rPr>
                <w:sz w:val="19"/>
              </w:rPr>
              <w:t>40</w:t>
            </w:r>
          </w:p>
        </w:tc>
        <w:tc>
          <w:tcPr>
            <w:tcW w:type="dxa" w:w="1296"/>
            <w:shd w:fill="FFFFFF"/>
          </w:tcPr>
          <w:p>
            <w:pPr>
              <w:spacing w:after="80" w:before="60"/>
            </w:pPr>
            <w:r>
              <w:rPr>
                <w:sz w:val="19"/>
              </w:rPr>
              <w:t>40</w:t>
            </w:r>
          </w:p>
        </w:tc>
        <w:tc>
          <w:tcPr>
            <w:tcW w:type="dxa" w:w="2016"/>
            <w:shd w:fill="FFFFFF"/>
          </w:tcPr>
          <w:p>
            <w:pPr>
              <w:spacing w:after="80" w:before="60"/>
            </w:pPr>
            <w:r>
              <w:rPr>
                <w:sz w:val="19"/>
              </w:rPr>
              <w:t>40</w:t>
            </w:r>
          </w:p>
        </w:tc>
        <w:tc>
          <w:tcPr>
            <w:tcW w:type="dxa" w:w="1872"/>
            <w:shd w:fill="FFFFFF"/>
          </w:tcPr>
          <w:p>
            <w:pPr>
              <w:spacing w:after="80" w:before="60"/>
            </w:pPr>
            <w:r>
              <w:rPr>
                <w:sz w:val="19"/>
              </w:rPr>
              <w:t>40</w:t>
            </w:r>
          </w:p>
        </w:tc>
      </w:tr>
      <w:tr>
        <w:trPr>
          <w:cantSplit/>
        </w:trPr>
        <w:tc>
          <w:tcPr>
            <w:tcW w:type="dxa" w:w="1440"/>
            <w:shd w:fill="F1F3F6"/>
          </w:tcPr>
          <w:p>
            <w:pPr>
              <w:spacing w:after="80" w:before="60"/>
            </w:pPr>
            <w:r>
              <w:rPr>
                <w:sz w:val="19"/>
              </w:rPr>
              <w:t>D103b</w:t>
            </w:r>
          </w:p>
        </w:tc>
        <w:tc>
          <w:tcPr>
            <w:tcW w:type="dxa" w:w="864"/>
            <w:shd w:fill="F1F3F6"/>
          </w:tcPr>
          <w:p>
            <w:pPr>
              <w:spacing w:after="80" w:before="60"/>
            </w:pPr>
            <w:r>
              <w:rPr>
                <w:sz w:val="19"/>
              </w:rPr>
              <w:t>1</w:t>
            </w:r>
          </w:p>
        </w:tc>
        <w:tc>
          <w:tcPr>
            <w:tcW w:type="dxa" w:w="1296"/>
            <w:shd w:fill="F1F3F6"/>
          </w:tcPr>
          <w:p>
            <w:pPr>
              <w:spacing w:after="80" w:before="60"/>
            </w:pPr>
            <w:r>
              <w:rPr>
                <w:sz w:val="19"/>
              </w:rPr>
              <w:t>46</w:t>
            </w:r>
          </w:p>
        </w:tc>
        <w:tc>
          <w:tcPr>
            <w:tcW w:type="dxa" w:w="1296"/>
            <w:shd w:fill="F1F3F6"/>
          </w:tcPr>
          <w:p>
            <w:pPr>
              <w:spacing w:after="80" w:before="60"/>
            </w:pPr>
            <w:r>
              <w:rPr>
                <w:sz w:val="19"/>
              </w:rPr>
              <w:t>46</w:t>
            </w:r>
          </w:p>
        </w:tc>
        <w:tc>
          <w:tcPr>
            <w:tcW w:type="dxa" w:w="1296"/>
            <w:shd w:fill="F1F3F6"/>
          </w:tcPr>
          <w:p>
            <w:pPr>
              <w:spacing w:after="80" w:before="60"/>
            </w:pPr>
            <w:r>
              <w:rPr>
                <w:sz w:val="19"/>
              </w:rPr>
              <w:t>46</w:t>
            </w:r>
          </w:p>
        </w:tc>
        <w:tc>
          <w:tcPr>
            <w:tcW w:type="dxa" w:w="2016"/>
            <w:shd w:fill="F1F3F6"/>
          </w:tcPr>
          <w:p>
            <w:pPr>
              <w:spacing w:after="80" w:before="60"/>
            </w:pPr>
            <w:r>
              <w:rPr>
                <w:sz w:val="19"/>
              </w:rPr>
              <w:t>46</w:t>
            </w:r>
          </w:p>
        </w:tc>
        <w:tc>
          <w:tcPr>
            <w:tcW w:type="dxa" w:w="1872"/>
            <w:shd w:fill="F1F3F6"/>
          </w:tcPr>
          <w:p>
            <w:pPr>
              <w:spacing w:after="80" w:before="60"/>
            </w:pPr>
            <w:r>
              <w:rPr>
                <w:sz w:val="19"/>
              </w:rPr>
              <w:t>46</w:t>
            </w:r>
          </w:p>
        </w:tc>
      </w:tr>
      <w:tr>
        <w:trPr>
          <w:cantSplit/>
        </w:trPr>
        <w:tc>
          <w:tcPr>
            <w:tcW w:type="dxa" w:w="1440"/>
            <w:shd w:fill="FFFFFF"/>
          </w:tcPr>
          <w:p>
            <w:pPr>
              <w:spacing w:after="80" w:before="60"/>
            </w:pPr>
            <w:r>
              <w:rPr>
                <w:sz w:val="19"/>
              </w:rPr>
              <w:t>D104a</w:t>
            </w:r>
          </w:p>
        </w:tc>
        <w:tc>
          <w:tcPr>
            <w:tcW w:type="dxa" w:w="864"/>
            <w:shd w:fill="FFFFFF"/>
          </w:tcPr>
          <w:p>
            <w:pPr>
              <w:spacing w:after="80" w:before="60"/>
            </w:pPr>
            <w:r>
              <w:rPr>
                <w:sz w:val="19"/>
              </w:rPr>
              <w:t>1</w:t>
            </w:r>
          </w:p>
        </w:tc>
        <w:tc>
          <w:tcPr>
            <w:tcW w:type="dxa" w:w="1296"/>
            <w:shd w:fill="FFFFFF"/>
          </w:tcPr>
          <w:p>
            <w:pPr>
              <w:spacing w:after="80" w:before="60"/>
            </w:pPr>
            <w:r>
              <w:rPr>
                <w:sz w:val="19"/>
              </w:rPr>
              <w:t>80</w:t>
            </w:r>
          </w:p>
        </w:tc>
        <w:tc>
          <w:tcPr>
            <w:tcW w:type="dxa" w:w="1296"/>
            <w:shd w:fill="FFFFFF"/>
          </w:tcPr>
          <w:p>
            <w:pPr>
              <w:spacing w:after="80" w:before="60"/>
            </w:pPr>
            <w:r>
              <w:rPr>
                <w:sz w:val="19"/>
              </w:rPr>
              <w:t>80</w:t>
            </w:r>
          </w:p>
        </w:tc>
        <w:tc>
          <w:tcPr>
            <w:tcW w:type="dxa" w:w="1296"/>
            <w:shd w:fill="FFFFFF"/>
          </w:tcPr>
          <w:p>
            <w:pPr>
              <w:spacing w:after="80" w:before="60"/>
            </w:pPr>
            <w:r>
              <w:rPr>
                <w:sz w:val="19"/>
              </w:rPr>
              <w:t>80</w:t>
            </w:r>
          </w:p>
        </w:tc>
        <w:tc>
          <w:tcPr>
            <w:tcW w:type="dxa" w:w="2016"/>
            <w:shd w:fill="FFFFFF"/>
          </w:tcPr>
          <w:p>
            <w:pPr>
              <w:spacing w:after="80" w:before="60"/>
            </w:pPr>
            <w:r>
              <w:rPr>
                <w:sz w:val="19"/>
              </w:rPr>
              <w:t>80</w:t>
            </w:r>
          </w:p>
        </w:tc>
        <w:tc>
          <w:tcPr>
            <w:tcW w:type="dxa" w:w="1872"/>
            <w:shd w:fill="FFFFFF"/>
          </w:tcPr>
          <w:p>
            <w:pPr>
              <w:spacing w:after="80" w:before="60"/>
            </w:pPr>
            <w:r>
              <w:rPr>
                <w:sz w:val="19"/>
              </w:rPr>
              <w:t>80</w:t>
            </w:r>
          </w:p>
        </w:tc>
      </w:tr>
      <w:tr>
        <w:trPr>
          <w:cantSplit/>
        </w:trPr>
        <w:tc>
          <w:tcPr>
            <w:tcW w:type="dxa" w:w="1440"/>
            <w:shd w:fill="F1F3F6"/>
          </w:tcPr>
          <w:p>
            <w:pPr>
              <w:spacing w:after="80" w:before="60"/>
            </w:pPr>
            <w:r>
              <w:rPr>
                <w:sz w:val="19"/>
              </w:rPr>
              <w:t>D104b</w:t>
            </w:r>
          </w:p>
        </w:tc>
        <w:tc>
          <w:tcPr>
            <w:tcW w:type="dxa" w:w="864"/>
            <w:shd w:fill="F1F3F6"/>
          </w:tcPr>
          <w:p>
            <w:pPr>
              <w:spacing w:after="80" w:before="60"/>
            </w:pPr>
            <w:r>
              <w:rPr>
                <w:sz w:val="19"/>
              </w:rPr>
              <w:t>1</w:t>
            </w:r>
          </w:p>
        </w:tc>
        <w:tc>
          <w:tcPr>
            <w:tcW w:type="dxa" w:w="1296"/>
            <w:shd w:fill="F1F3F6"/>
          </w:tcPr>
          <w:p>
            <w:pPr>
              <w:spacing w:after="80" w:before="60"/>
            </w:pPr>
            <w:r>
              <w:rPr>
                <w:sz w:val="19"/>
              </w:rPr>
              <w:t>76</w:t>
            </w:r>
          </w:p>
        </w:tc>
        <w:tc>
          <w:tcPr>
            <w:tcW w:type="dxa" w:w="1296"/>
            <w:shd w:fill="F1F3F6"/>
          </w:tcPr>
          <w:p>
            <w:pPr>
              <w:spacing w:after="80" w:before="60"/>
            </w:pPr>
            <w:r>
              <w:rPr>
                <w:sz w:val="19"/>
              </w:rPr>
              <w:t>76</w:t>
            </w:r>
          </w:p>
        </w:tc>
        <w:tc>
          <w:tcPr>
            <w:tcW w:type="dxa" w:w="1296"/>
            <w:shd w:fill="F1F3F6"/>
          </w:tcPr>
          <w:p>
            <w:pPr>
              <w:spacing w:after="80" w:before="60"/>
            </w:pPr>
            <w:r>
              <w:rPr>
                <w:sz w:val="19"/>
              </w:rPr>
              <w:t>76</w:t>
            </w:r>
          </w:p>
        </w:tc>
        <w:tc>
          <w:tcPr>
            <w:tcW w:type="dxa" w:w="2016"/>
            <w:shd w:fill="F1F3F6"/>
          </w:tcPr>
          <w:p>
            <w:pPr>
              <w:spacing w:after="80" w:before="60"/>
            </w:pPr>
            <w:r>
              <w:rPr>
                <w:sz w:val="19"/>
              </w:rPr>
              <w:t>76</w:t>
            </w:r>
          </w:p>
        </w:tc>
        <w:tc>
          <w:tcPr>
            <w:tcW w:type="dxa" w:w="1872"/>
            <w:shd w:fill="F1F3F6"/>
          </w:tcPr>
          <w:p>
            <w:pPr>
              <w:spacing w:after="80" w:before="60"/>
            </w:pPr>
            <w:r>
              <w:rPr>
                <w:sz w:val="19"/>
              </w:rPr>
              <w:t>76</w:t>
            </w:r>
          </w:p>
        </w:tc>
      </w:tr>
      <w:tr>
        <w:trPr>
          <w:cantSplit/>
        </w:trPr>
        <w:tc>
          <w:tcPr>
            <w:tcW w:type="dxa" w:w="1440"/>
            <w:shd w:fill="FFFFFF"/>
          </w:tcPr>
          <w:p>
            <w:pPr>
              <w:spacing w:after="80" w:before="60"/>
            </w:pPr>
            <w:r>
              <w:rPr>
                <w:sz w:val="19"/>
              </w:rPr>
              <w:t>D105a</w:t>
            </w:r>
          </w:p>
        </w:tc>
        <w:tc>
          <w:tcPr>
            <w:tcW w:type="dxa" w:w="864"/>
            <w:shd w:fill="FFFFFF"/>
          </w:tcPr>
          <w:p>
            <w:pPr>
              <w:spacing w:after="80" w:before="60"/>
            </w:pPr>
            <w:r>
              <w:rPr>
                <w:sz w:val="19"/>
              </w:rPr>
              <w:t>1</w:t>
            </w:r>
          </w:p>
        </w:tc>
        <w:tc>
          <w:tcPr>
            <w:tcW w:type="dxa" w:w="1296"/>
            <w:shd w:fill="FFFFFF"/>
          </w:tcPr>
          <w:p>
            <w:pPr>
              <w:spacing w:after="80" w:before="60"/>
            </w:pPr>
            <w:r>
              <w:rPr>
                <w:sz w:val="19"/>
              </w:rPr>
              <w:t>65</w:t>
            </w:r>
          </w:p>
        </w:tc>
        <w:tc>
          <w:tcPr>
            <w:tcW w:type="dxa" w:w="1296"/>
            <w:shd w:fill="FFFFFF"/>
          </w:tcPr>
          <w:p>
            <w:pPr>
              <w:spacing w:after="80" w:before="60"/>
            </w:pPr>
            <w:r>
              <w:rPr>
                <w:sz w:val="19"/>
              </w:rPr>
              <w:t>65</w:t>
            </w:r>
          </w:p>
        </w:tc>
        <w:tc>
          <w:tcPr>
            <w:tcW w:type="dxa" w:w="1296"/>
            <w:shd w:fill="FFFFFF"/>
          </w:tcPr>
          <w:p>
            <w:pPr>
              <w:spacing w:after="80" w:before="60"/>
            </w:pPr>
            <w:r>
              <w:rPr>
                <w:sz w:val="19"/>
              </w:rPr>
              <w:t>65</w:t>
            </w:r>
          </w:p>
        </w:tc>
        <w:tc>
          <w:tcPr>
            <w:tcW w:type="dxa" w:w="2016"/>
            <w:shd w:fill="FFFFFF"/>
          </w:tcPr>
          <w:p>
            <w:pPr>
              <w:spacing w:after="80" w:before="60"/>
            </w:pPr>
            <w:r>
              <w:rPr>
                <w:sz w:val="19"/>
              </w:rPr>
              <w:t>65</w:t>
            </w:r>
          </w:p>
        </w:tc>
        <w:tc>
          <w:tcPr>
            <w:tcW w:type="dxa" w:w="1872"/>
            <w:shd w:fill="FFFFFF"/>
          </w:tcPr>
          <w:p>
            <w:pPr>
              <w:spacing w:after="80" w:before="60"/>
            </w:pPr>
            <w:r>
              <w:rPr>
                <w:sz w:val="19"/>
              </w:rPr>
              <w:t>65</w:t>
            </w:r>
          </w:p>
        </w:tc>
      </w:tr>
      <w:tr>
        <w:trPr>
          <w:cantSplit/>
        </w:trPr>
        <w:tc>
          <w:tcPr>
            <w:tcW w:type="dxa" w:w="1440"/>
            <w:shd w:fill="F1F3F6"/>
          </w:tcPr>
          <w:p>
            <w:pPr>
              <w:spacing w:after="80" w:before="60"/>
            </w:pPr>
            <w:r>
              <w:rPr>
                <w:sz w:val="19"/>
              </w:rPr>
              <w:t>D105b</w:t>
            </w:r>
          </w:p>
        </w:tc>
        <w:tc>
          <w:tcPr>
            <w:tcW w:type="dxa" w:w="864"/>
            <w:shd w:fill="F1F3F6"/>
          </w:tcPr>
          <w:p>
            <w:pPr>
              <w:spacing w:after="80" w:before="60"/>
            </w:pPr>
            <w:r>
              <w:rPr>
                <w:sz w:val="19"/>
              </w:rPr>
              <w:t>1</w:t>
            </w:r>
          </w:p>
        </w:tc>
        <w:tc>
          <w:tcPr>
            <w:tcW w:type="dxa" w:w="1296"/>
            <w:shd w:fill="F1F3F6"/>
          </w:tcPr>
          <w:p>
            <w:pPr>
              <w:spacing w:after="80" w:before="60"/>
            </w:pPr>
            <w:r>
              <w:rPr>
                <w:sz w:val="19"/>
              </w:rPr>
              <w:t>61</w:t>
            </w:r>
          </w:p>
        </w:tc>
        <w:tc>
          <w:tcPr>
            <w:tcW w:type="dxa" w:w="1296"/>
            <w:shd w:fill="F1F3F6"/>
          </w:tcPr>
          <w:p>
            <w:pPr>
              <w:spacing w:after="80" w:before="60"/>
            </w:pPr>
            <w:r>
              <w:rPr>
                <w:sz w:val="19"/>
              </w:rPr>
              <w:t>61</w:t>
            </w:r>
          </w:p>
        </w:tc>
        <w:tc>
          <w:tcPr>
            <w:tcW w:type="dxa" w:w="1296"/>
            <w:shd w:fill="F1F3F6"/>
          </w:tcPr>
          <w:p>
            <w:pPr>
              <w:spacing w:after="80" w:before="60"/>
            </w:pPr>
            <w:r>
              <w:rPr>
                <w:sz w:val="19"/>
              </w:rPr>
              <w:t>61</w:t>
            </w:r>
          </w:p>
        </w:tc>
        <w:tc>
          <w:tcPr>
            <w:tcW w:type="dxa" w:w="2016"/>
            <w:shd w:fill="F1F3F6"/>
          </w:tcPr>
          <w:p>
            <w:pPr>
              <w:spacing w:after="80" w:before="60"/>
            </w:pPr>
            <w:r>
              <w:rPr>
                <w:sz w:val="19"/>
              </w:rPr>
              <w:t>61</w:t>
            </w:r>
          </w:p>
        </w:tc>
        <w:tc>
          <w:tcPr>
            <w:tcW w:type="dxa" w:w="1872"/>
            <w:shd w:fill="F1F3F6"/>
          </w:tcPr>
          <w:p>
            <w:pPr>
              <w:spacing w:after="80" w:before="60"/>
            </w:pPr>
            <w:r>
              <w:rPr>
                <w:sz w:val="19"/>
              </w:rPr>
              <w:t>61</w:t>
            </w:r>
          </w:p>
        </w:tc>
      </w:tr>
      <w:tr>
        <w:trPr>
          <w:cantSplit/>
        </w:trPr>
        <w:tc>
          <w:tcPr>
            <w:tcW w:type="dxa" w:w="1440"/>
            <w:shd w:fill="FFFFFF"/>
          </w:tcPr>
          <w:p>
            <w:pPr>
              <w:spacing w:after="80" w:before="60"/>
            </w:pPr>
            <w:r>
              <w:rPr>
                <w:sz w:val="19"/>
              </w:rPr>
              <w:t>D106a</w:t>
            </w:r>
          </w:p>
        </w:tc>
        <w:tc>
          <w:tcPr>
            <w:tcW w:type="dxa" w:w="864"/>
            <w:shd w:fill="FFFFFF"/>
          </w:tcPr>
          <w:p>
            <w:pPr>
              <w:spacing w:after="80" w:before="60"/>
            </w:pPr>
            <w:r>
              <w:rPr>
                <w:sz w:val="19"/>
              </w:rPr>
              <w:t>1</w:t>
            </w:r>
          </w:p>
        </w:tc>
        <w:tc>
          <w:tcPr>
            <w:tcW w:type="dxa" w:w="1296"/>
            <w:shd w:fill="FFFFFF"/>
          </w:tcPr>
          <w:p>
            <w:pPr>
              <w:spacing w:after="80" w:before="60"/>
            </w:pPr>
            <w:r>
              <w:rPr>
                <w:sz w:val="19"/>
              </w:rPr>
              <w:t>55</w:t>
            </w:r>
          </w:p>
        </w:tc>
        <w:tc>
          <w:tcPr>
            <w:tcW w:type="dxa" w:w="1296"/>
            <w:shd w:fill="FFFFFF"/>
          </w:tcPr>
          <w:p>
            <w:pPr>
              <w:spacing w:after="80" w:before="60"/>
            </w:pPr>
            <w:r>
              <w:rPr>
                <w:sz w:val="19"/>
              </w:rPr>
              <w:t>55</w:t>
            </w:r>
          </w:p>
        </w:tc>
        <w:tc>
          <w:tcPr>
            <w:tcW w:type="dxa" w:w="1296"/>
            <w:shd w:fill="FFFFFF"/>
          </w:tcPr>
          <w:p>
            <w:pPr>
              <w:spacing w:after="80" w:before="60"/>
            </w:pPr>
            <w:r>
              <w:rPr>
                <w:sz w:val="19"/>
              </w:rPr>
              <w:t>55</w:t>
            </w:r>
          </w:p>
        </w:tc>
        <w:tc>
          <w:tcPr>
            <w:tcW w:type="dxa" w:w="2016"/>
            <w:shd w:fill="FFFFFF"/>
          </w:tcPr>
          <w:p>
            <w:pPr>
              <w:spacing w:after="80" w:before="60"/>
            </w:pPr>
            <w:r>
              <w:rPr>
                <w:sz w:val="19"/>
              </w:rPr>
              <w:t>55</w:t>
            </w:r>
          </w:p>
        </w:tc>
        <w:tc>
          <w:tcPr>
            <w:tcW w:type="dxa" w:w="1872"/>
            <w:shd w:fill="FFFFFF"/>
          </w:tcPr>
          <w:p>
            <w:pPr>
              <w:spacing w:after="80" w:before="60"/>
            </w:pPr>
            <w:r>
              <w:rPr>
                <w:sz w:val="19"/>
              </w:rPr>
              <w:t>55</w:t>
            </w:r>
          </w:p>
        </w:tc>
      </w:tr>
      <w:tr>
        <w:trPr>
          <w:cantSplit/>
        </w:trPr>
        <w:tc>
          <w:tcPr>
            <w:tcW w:type="dxa" w:w="1440"/>
            <w:shd w:fill="F1F3F6"/>
          </w:tcPr>
          <w:p>
            <w:pPr>
              <w:spacing w:after="80" w:before="60"/>
            </w:pPr>
            <w:r>
              <w:rPr>
                <w:sz w:val="19"/>
              </w:rPr>
              <w:t>D106b</w:t>
            </w:r>
          </w:p>
        </w:tc>
        <w:tc>
          <w:tcPr>
            <w:tcW w:type="dxa" w:w="864"/>
            <w:shd w:fill="F1F3F6"/>
          </w:tcPr>
          <w:p>
            <w:pPr>
              <w:spacing w:after="80" w:before="60"/>
            </w:pPr>
            <w:r>
              <w:rPr>
                <w:sz w:val="19"/>
              </w:rPr>
              <w:t>1</w:t>
            </w:r>
          </w:p>
        </w:tc>
        <w:tc>
          <w:tcPr>
            <w:tcW w:type="dxa" w:w="1296"/>
            <w:shd w:fill="F1F3F6"/>
          </w:tcPr>
          <w:p>
            <w:pPr>
              <w:spacing w:after="80" w:before="60"/>
            </w:pPr>
            <w:r>
              <w:rPr>
                <w:sz w:val="19"/>
              </w:rPr>
              <w:t>51</w:t>
            </w:r>
          </w:p>
        </w:tc>
        <w:tc>
          <w:tcPr>
            <w:tcW w:type="dxa" w:w="1296"/>
            <w:shd w:fill="F1F3F6"/>
          </w:tcPr>
          <w:p>
            <w:pPr>
              <w:spacing w:after="80" w:before="60"/>
            </w:pPr>
            <w:r>
              <w:rPr>
                <w:sz w:val="19"/>
              </w:rPr>
              <w:t>51</w:t>
            </w:r>
          </w:p>
        </w:tc>
        <w:tc>
          <w:tcPr>
            <w:tcW w:type="dxa" w:w="1296"/>
            <w:shd w:fill="F1F3F6"/>
          </w:tcPr>
          <w:p>
            <w:pPr>
              <w:spacing w:after="80" w:before="60"/>
            </w:pPr>
            <w:r>
              <w:rPr>
                <w:sz w:val="19"/>
              </w:rPr>
              <w:t>51</w:t>
            </w:r>
          </w:p>
        </w:tc>
        <w:tc>
          <w:tcPr>
            <w:tcW w:type="dxa" w:w="2016"/>
            <w:shd w:fill="F1F3F6"/>
          </w:tcPr>
          <w:p>
            <w:pPr>
              <w:spacing w:after="80" w:before="60"/>
            </w:pPr>
            <w:r>
              <w:rPr>
                <w:sz w:val="19"/>
              </w:rPr>
              <w:t>51</w:t>
            </w:r>
          </w:p>
        </w:tc>
        <w:tc>
          <w:tcPr>
            <w:tcW w:type="dxa" w:w="1872"/>
            <w:shd w:fill="F1F3F6"/>
          </w:tcPr>
          <w:p>
            <w:pPr>
              <w:spacing w:after="80" w:before="60"/>
            </w:pPr>
            <w:r>
              <w:rPr>
                <w:sz w:val="19"/>
              </w:rPr>
              <w:t>51</w:t>
            </w:r>
          </w:p>
        </w:tc>
      </w:tr>
    </w:tbl>
    <w:p>
      <w:r>
        <w:t>D101a = 40 × 0,30 + 50 × 0,20 + 54,4 × 0,50 = 49,2 → 50. Cet EC est exclu du rattrapage de SN. D101b = 60,1 → 61.</w:t>
      </w:r>
    </w:p>
    <w:p>
      <w:r>
        <w:t>Les intitulés de démonstration des EC sont les codes suivis de « élément a » ou « élément b ». Les crédits EC servent à la moyenne de l’UE; les crédits UE ci-après servent à la MGP. Les deux jeux de crédits sont explicitement fournis pour le calcul.</w:t>
      </w:r>
    </w:p>
    <w:p>
      <w:pPr>
        <w:pStyle w:val="Heading1"/>
        <w:pageBreakBefore/>
      </w:pPr>
      <w:r>
        <w:t>16 Bulletin par UE et décision annuelle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1008"/>
        <w:gridCol w:w="1440"/>
        <w:gridCol w:w="1008"/>
        <w:gridCol w:w="1296"/>
        <w:gridCol w:w="2016"/>
      </w:tblGrid>
      <w:tr>
        <w:trPr>
          <w:cantSplit/>
          <w:tblHeader/>
        </w:trPr>
        <w:tc>
          <w:tcPr>
            <w:tcW w:type="dxa" w:w="3312"/>
            <w:shd w:fill="1B2942"/>
          </w:tcPr>
          <w:p>
            <w:pPr>
              <w:spacing w:after="80" w:before="60"/>
            </w:pPr>
            <w:r>
              <w:rPr>
                <w:b/>
                <w:color w:val="FFFFFF"/>
                <w:sz w:val="19"/>
              </w:rPr>
              <w:t>UE</w:t>
            </w:r>
          </w:p>
        </w:tc>
        <w:tc>
          <w:tcPr>
            <w:tcW w:type="dxa" w:w="1008"/>
            <w:shd w:fill="1B2942"/>
          </w:tcPr>
          <w:p>
            <w:pPr>
              <w:spacing w:after="80" w:before="60"/>
            </w:pPr>
            <w:r>
              <w:rPr>
                <w:b/>
                <w:color w:val="FFFFFF"/>
                <w:sz w:val="19"/>
              </w:rPr>
              <w:t>Crédits</w:t>
            </w:r>
          </w:p>
        </w:tc>
        <w:tc>
          <w:tcPr>
            <w:tcW w:type="dxa" w:w="1440"/>
            <w:shd w:fill="1B2942"/>
          </w:tcPr>
          <w:p>
            <w:pPr>
              <w:spacing w:after="80" w:before="60"/>
            </w:pPr>
            <w:r>
              <w:rPr>
                <w:b/>
                <w:color w:val="FFFFFF"/>
                <w:sz w:val="19"/>
              </w:rPr>
              <w:t>Note /100</w:t>
            </w:r>
          </w:p>
        </w:tc>
        <w:tc>
          <w:tcPr>
            <w:tcW w:type="dxa" w:w="1008"/>
            <w:shd w:fill="1B2942"/>
          </w:tcPr>
          <w:p>
            <w:pPr>
              <w:spacing w:after="80" w:before="60"/>
            </w:pPr>
            <w:r>
              <w:rPr>
                <w:b/>
                <w:color w:val="FFFFFF"/>
                <w:sz w:val="19"/>
              </w:rPr>
              <w:t>Grade</w:t>
            </w:r>
          </w:p>
        </w:tc>
        <w:tc>
          <w:tcPr>
            <w:tcW w:type="dxa" w:w="1296"/>
            <w:shd w:fill="1B2942"/>
          </w:tcPr>
          <w:p>
            <w:pPr>
              <w:spacing w:after="80" w:before="60"/>
            </w:pPr>
            <w:r>
              <w:rPr>
                <w:b/>
                <w:color w:val="FFFFFF"/>
                <w:sz w:val="19"/>
              </w:rPr>
              <w:t>Points</w:t>
            </w:r>
          </w:p>
        </w:tc>
        <w:tc>
          <w:tcPr>
            <w:tcW w:type="dxa" w:w="2016"/>
            <w:shd w:fill="1B2942"/>
          </w:tcPr>
          <w:p>
            <w:pPr>
              <w:spacing w:after="80" w:before="60"/>
            </w:pPr>
            <w:r>
              <w:rPr>
                <w:b/>
                <w:color w:val="FFFFFF"/>
                <w:sz w:val="19"/>
              </w:rPr>
              <w:t>Contribution</w:t>
            </w:r>
          </w:p>
        </w:tc>
      </w:tr>
      <w:tr>
        <w:trPr>
          <w:cantSplit/>
        </w:trPr>
        <w:tc>
          <w:tcPr>
            <w:tcW w:type="dxa" w:w="3312"/>
            <w:shd w:fill="FFFFFF"/>
          </w:tcPr>
          <w:p>
            <w:pPr>
              <w:spacing w:after="80" w:before="60"/>
            </w:pPr>
            <w:r>
              <w:rPr>
                <w:sz w:val="19"/>
              </w:rPr>
              <w:t>D101 Algorithmique</w:t>
            </w:r>
          </w:p>
        </w:tc>
        <w:tc>
          <w:tcPr>
            <w:tcW w:type="dxa" w:w="1008"/>
            <w:shd w:fill="FFFFFF"/>
          </w:tcPr>
          <w:p>
            <w:pPr>
              <w:spacing w:after="80" w:before="60"/>
            </w:pPr>
            <w:r>
              <w:rPr>
                <w:sz w:val="19"/>
              </w:rPr>
              <w:t>6</w:t>
            </w:r>
          </w:p>
        </w:tc>
        <w:tc>
          <w:tcPr>
            <w:tcW w:type="dxa" w:w="1440"/>
            <w:shd w:fill="FFFFFF"/>
          </w:tcPr>
          <w:p>
            <w:pPr>
              <w:spacing w:after="80" w:before="60"/>
            </w:pPr>
            <w:r>
              <w:rPr>
                <w:sz w:val="19"/>
              </w:rPr>
              <w:t>58</w:t>
            </w:r>
          </w:p>
        </w:tc>
        <w:tc>
          <w:tcPr>
            <w:tcW w:type="dxa" w:w="1008"/>
            <w:shd w:fill="FFFFFF"/>
          </w:tcPr>
          <w:p>
            <w:pPr>
              <w:spacing w:after="80" w:before="60"/>
            </w:pPr>
            <w:r>
              <w:rPr>
                <w:sz w:val="19"/>
              </w:rPr>
              <w:t>C+</w:t>
            </w:r>
          </w:p>
        </w:tc>
        <w:tc>
          <w:tcPr>
            <w:tcW w:type="dxa" w:w="1296"/>
            <w:shd w:fill="FFFFFF"/>
          </w:tcPr>
          <w:p>
            <w:pPr>
              <w:spacing w:after="80" w:before="60"/>
            </w:pPr>
            <w:r>
              <w:rPr>
                <w:sz w:val="19"/>
              </w:rPr>
              <w:t>2,3</w:t>
            </w:r>
          </w:p>
        </w:tc>
        <w:tc>
          <w:tcPr>
            <w:tcW w:type="dxa" w:w="2016"/>
            <w:shd w:fill="FFFFFF"/>
          </w:tcPr>
          <w:p>
            <w:pPr>
              <w:spacing w:after="80" w:before="60"/>
            </w:pPr>
            <w:r>
              <w:rPr>
                <w:sz w:val="19"/>
              </w:rPr>
              <w:t>13,8</w:t>
            </w:r>
          </w:p>
        </w:tc>
      </w:tr>
      <w:tr>
        <w:trPr>
          <w:cantSplit/>
        </w:trPr>
        <w:tc>
          <w:tcPr>
            <w:tcW w:type="dxa" w:w="3312"/>
            <w:shd w:fill="F1F3F6"/>
          </w:tcPr>
          <w:p>
            <w:pPr>
              <w:spacing w:after="80" w:before="60"/>
            </w:pPr>
            <w:r>
              <w:rPr>
                <w:sz w:val="19"/>
              </w:rPr>
              <w:t>D102 Systèmes</w:t>
            </w:r>
          </w:p>
        </w:tc>
        <w:tc>
          <w:tcPr>
            <w:tcW w:type="dxa" w:w="1008"/>
            <w:shd w:fill="F1F3F6"/>
          </w:tcPr>
          <w:p>
            <w:pPr>
              <w:spacing w:after="80" w:before="60"/>
            </w:pPr>
            <w:r>
              <w:rPr>
                <w:sz w:val="19"/>
              </w:rPr>
              <w:t>4</w:t>
            </w:r>
          </w:p>
        </w:tc>
        <w:tc>
          <w:tcPr>
            <w:tcW w:type="dxa" w:w="1440"/>
            <w:shd w:fill="F1F3F6"/>
          </w:tcPr>
          <w:p>
            <w:pPr>
              <w:spacing w:after="80" w:before="60"/>
            </w:pPr>
            <w:r>
              <w:rPr>
                <w:sz w:val="19"/>
              </w:rPr>
              <w:t>52</w:t>
            </w:r>
          </w:p>
        </w:tc>
        <w:tc>
          <w:tcPr>
            <w:tcW w:type="dxa" w:w="1008"/>
            <w:shd w:fill="F1F3F6"/>
          </w:tcPr>
          <w:p>
            <w:pPr>
              <w:spacing w:after="80" w:before="60"/>
            </w:pPr>
            <w:r>
              <w:rPr>
                <w:sz w:val="19"/>
              </w:rPr>
              <w:t>C</w:t>
            </w:r>
          </w:p>
        </w:tc>
        <w:tc>
          <w:tcPr>
            <w:tcW w:type="dxa" w:w="1296"/>
            <w:shd w:fill="F1F3F6"/>
          </w:tcPr>
          <w:p>
            <w:pPr>
              <w:spacing w:after="80" w:before="60"/>
            </w:pPr>
            <w:r>
              <w:rPr>
                <w:sz w:val="19"/>
              </w:rPr>
              <w:t>2</w:t>
            </w:r>
          </w:p>
        </w:tc>
        <w:tc>
          <w:tcPr>
            <w:tcW w:type="dxa" w:w="2016"/>
            <w:shd w:fill="F1F3F6"/>
          </w:tcPr>
          <w:p>
            <w:pPr>
              <w:spacing w:after="80" w:before="60"/>
            </w:pPr>
            <w:r>
              <w:rPr>
                <w:sz w:val="19"/>
              </w:rPr>
              <w:t>8</w:t>
            </w:r>
          </w:p>
        </w:tc>
      </w:tr>
      <w:tr>
        <w:trPr>
          <w:cantSplit/>
        </w:trPr>
        <w:tc>
          <w:tcPr>
            <w:tcW w:type="dxa" w:w="3312"/>
            <w:shd w:fill="FFFFFF"/>
          </w:tcPr>
          <w:p>
            <w:pPr>
              <w:spacing w:after="80" w:before="60"/>
            </w:pPr>
            <w:r>
              <w:rPr>
                <w:sz w:val="19"/>
              </w:rPr>
              <w:t>D103 Mathématiques</w:t>
            </w:r>
          </w:p>
        </w:tc>
        <w:tc>
          <w:tcPr>
            <w:tcW w:type="dxa" w:w="1008"/>
            <w:shd w:fill="FFFFFF"/>
          </w:tcPr>
          <w:p>
            <w:pPr>
              <w:spacing w:after="80" w:before="60"/>
            </w:pPr>
            <w:r>
              <w:rPr>
                <w:sz w:val="19"/>
              </w:rPr>
              <w:t>5</w:t>
            </w:r>
          </w:p>
        </w:tc>
        <w:tc>
          <w:tcPr>
            <w:tcW w:type="dxa" w:w="1440"/>
            <w:shd w:fill="FFFFFF"/>
          </w:tcPr>
          <w:p>
            <w:pPr>
              <w:spacing w:after="80" w:before="60"/>
            </w:pPr>
            <w:r>
              <w:rPr>
                <w:sz w:val="19"/>
              </w:rPr>
              <w:t>43</w:t>
            </w:r>
          </w:p>
        </w:tc>
        <w:tc>
          <w:tcPr>
            <w:tcW w:type="dxa" w:w="1008"/>
            <w:shd w:fill="FFFFFF"/>
          </w:tcPr>
          <w:p>
            <w:pPr>
              <w:spacing w:after="80" w:before="60"/>
            </w:pPr>
            <w:r>
              <w:rPr>
                <w:sz w:val="19"/>
              </w:rPr>
              <w:t>D+</w:t>
            </w:r>
          </w:p>
        </w:tc>
        <w:tc>
          <w:tcPr>
            <w:tcW w:type="dxa" w:w="1296"/>
            <w:shd w:fill="FFFFFF"/>
          </w:tcPr>
          <w:p>
            <w:pPr>
              <w:spacing w:after="80" w:before="60"/>
            </w:pPr>
            <w:r>
              <w:rPr>
                <w:sz w:val="19"/>
              </w:rPr>
              <w:t>1,3</w:t>
            </w:r>
          </w:p>
        </w:tc>
        <w:tc>
          <w:tcPr>
            <w:tcW w:type="dxa" w:w="2016"/>
            <w:shd w:fill="FFFFFF"/>
          </w:tcPr>
          <w:p>
            <w:pPr>
              <w:spacing w:after="80" w:before="60"/>
            </w:pPr>
            <w:r>
              <w:rPr>
                <w:sz w:val="19"/>
              </w:rPr>
              <w:t>6,5</w:t>
            </w:r>
          </w:p>
        </w:tc>
      </w:tr>
      <w:tr>
        <w:trPr>
          <w:cantSplit/>
        </w:trPr>
        <w:tc>
          <w:tcPr>
            <w:tcW w:type="dxa" w:w="3312"/>
            <w:shd w:fill="F1F3F6"/>
          </w:tcPr>
          <w:p>
            <w:pPr>
              <w:spacing w:after="80" w:before="60"/>
            </w:pPr>
            <w:r>
              <w:rPr>
                <w:sz w:val="19"/>
              </w:rPr>
              <w:t>D104 Bases de données</w:t>
            </w:r>
          </w:p>
        </w:tc>
        <w:tc>
          <w:tcPr>
            <w:tcW w:type="dxa" w:w="1008"/>
            <w:shd w:fill="F1F3F6"/>
          </w:tcPr>
          <w:p>
            <w:pPr>
              <w:spacing w:after="80" w:before="60"/>
            </w:pPr>
            <w:r>
              <w:rPr>
                <w:sz w:val="19"/>
              </w:rPr>
              <w:t>6</w:t>
            </w:r>
          </w:p>
        </w:tc>
        <w:tc>
          <w:tcPr>
            <w:tcW w:type="dxa" w:w="1440"/>
            <w:shd w:fill="F1F3F6"/>
          </w:tcPr>
          <w:p>
            <w:pPr>
              <w:spacing w:after="80" w:before="60"/>
            </w:pPr>
            <w:r>
              <w:rPr>
                <w:sz w:val="19"/>
              </w:rPr>
              <w:t>78</w:t>
            </w:r>
          </w:p>
        </w:tc>
        <w:tc>
          <w:tcPr>
            <w:tcW w:type="dxa" w:w="1008"/>
            <w:shd w:fill="F1F3F6"/>
          </w:tcPr>
          <w:p>
            <w:pPr>
              <w:spacing w:after="80" w:before="60"/>
            </w:pPr>
            <w:r>
              <w:rPr>
                <w:sz w:val="19"/>
              </w:rPr>
              <w:t>A−</w:t>
            </w:r>
          </w:p>
        </w:tc>
        <w:tc>
          <w:tcPr>
            <w:tcW w:type="dxa" w:w="1296"/>
            <w:shd w:fill="F1F3F6"/>
          </w:tcPr>
          <w:p>
            <w:pPr>
              <w:spacing w:after="80" w:before="60"/>
            </w:pPr>
            <w:r>
              <w:rPr>
                <w:sz w:val="19"/>
              </w:rPr>
              <w:t>3,7</w:t>
            </w:r>
          </w:p>
        </w:tc>
        <w:tc>
          <w:tcPr>
            <w:tcW w:type="dxa" w:w="2016"/>
            <w:shd w:fill="F1F3F6"/>
          </w:tcPr>
          <w:p>
            <w:pPr>
              <w:spacing w:after="80" w:before="60"/>
            </w:pPr>
            <w:r>
              <w:rPr>
                <w:sz w:val="19"/>
              </w:rPr>
              <w:t>22,2</w:t>
            </w:r>
          </w:p>
        </w:tc>
      </w:tr>
      <w:tr>
        <w:trPr>
          <w:cantSplit/>
        </w:trPr>
        <w:tc>
          <w:tcPr>
            <w:tcW w:type="dxa" w:w="3312"/>
            <w:shd w:fill="FFFFFF"/>
          </w:tcPr>
          <w:p>
            <w:pPr>
              <w:spacing w:after="80" w:before="60"/>
            </w:pPr>
            <w:r>
              <w:rPr>
                <w:sz w:val="19"/>
              </w:rPr>
              <w:t>D105 Réseaux</w:t>
            </w:r>
          </w:p>
        </w:tc>
        <w:tc>
          <w:tcPr>
            <w:tcW w:type="dxa" w:w="1008"/>
            <w:shd w:fill="FFFFFF"/>
          </w:tcPr>
          <w:p>
            <w:pPr>
              <w:spacing w:after="80" w:before="60"/>
            </w:pPr>
            <w:r>
              <w:rPr>
                <w:sz w:val="19"/>
              </w:rPr>
              <w:t>5</w:t>
            </w:r>
          </w:p>
        </w:tc>
        <w:tc>
          <w:tcPr>
            <w:tcW w:type="dxa" w:w="1440"/>
            <w:shd w:fill="FFFFFF"/>
          </w:tcPr>
          <w:p>
            <w:pPr>
              <w:spacing w:after="80" w:before="60"/>
            </w:pPr>
            <w:r>
              <w:rPr>
                <w:sz w:val="19"/>
              </w:rPr>
              <w:t>63</w:t>
            </w:r>
          </w:p>
        </w:tc>
        <w:tc>
          <w:tcPr>
            <w:tcW w:type="dxa" w:w="1008"/>
            <w:shd w:fill="FFFFFF"/>
          </w:tcPr>
          <w:p>
            <w:pPr>
              <w:spacing w:after="80" w:before="60"/>
            </w:pPr>
            <w:r>
              <w:rPr>
                <w:sz w:val="19"/>
              </w:rPr>
              <w:t>B−</w:t>
            </w:r>
          </w:p>
        </w:tc>
        <w:tc>
          <w:tcPr>
            <w:tcW w:type="dxa" w:w="1296"/>
            <w:shd w:fill="FFFFFF"/>
          </w:tcPr>
          <w:p>
            <w:pPr>
              <w:spacing w:after="80" w:before="60"/>
            </w:pPr>
            <w:r>
              <w:rPr>
                <w:sz w:val="19"/>
              </w:rPr>
              <w:t>2,7</w:t>
            </w:r>
          </w:p>
        </w:tc>
        <w:tc>
          <w:tcPr>
            <w:tcW w:type="dxa" w:w="2016"/>
            <w:shd w:fill="FFFFFF"/>
          </w:tcPr>
          <w:p>
            <w:pPr>
              <w:spacing w:after="80" w:before="60"/>
            </w:pPr>
            <w:r>
              <w:rPr>
                <w:sz w:val="19"/>
              </w:rPr>
              <w:t>13,5</w:t>
            </w:r>
          </w:p>
        </w:tc>
      </w:tr>
      <w:tr>
        <w:trPr>
          <w:cantSplit/>
        </w:trPr>
        <w:tc>
          <w:tcPr>
            <w:tcW w:type="dxa" w:w="3312"/>
            <w:shd w:fill="F1F3F6"/>
          </w:tcPr>
          <w:p>
            <w:pPr>
              <w:spacing w:after="80" w:before="60"/>
            </w:pPr>
            <w:r>
              <w:rPr>
                <w:sz w:val="19"/>
              </w:rPr>
              <w:t>D106 Projet</w:t>
            </w:r>
          </w:p>
        </w:tc>
        <w:tc>
          <w:tcPr>
            <w:tcW w:type="dxa" w:w="1008"/>
            <w:shd w:fill="F1F3F6"/>
          </w:tcPr>
          <w:p>
            <w:pPr>
              <w:spacing w:after="80" w:before="60"/>
            </w:pPr>
            <w:r>
              <w:rPr>
                <w:sz w:val="19"/>
              </w:rPr>
              <w:t>4</w:t>
            </w:r>
          </w:p>
        </w:tc>
        <w:tc>
          <w:tcPr>
            <w:tcW w:type="dxa" w:w="1440"/>
            <w:shd w:fill="F1F3F6"/>
          </w:tcPr>
          <w:p>
            <w:pPr>
              <w:spacing w:after="80" w:before="60"/>
            </w:pPr>
            <w:r>
              <w:rPr>
                <w:sz w:val="19"/>
              </w:rPr>
              <w:t>53</w:t>
            </w:r>
          </w:p>
        </w:tc>
        <w:tc>
          <w:tcPr>
            <w:tcW w:type="dxa" w:w="1008"/>
            <w:shd w:fill="F1F3F6"/>
          </w:tcPr>
          <w:p>
            <w:pPr>
              <w:spacing w:after="80" w:before="60"/>
            </w:pPr>
            <w:r>
              <w:rPr>
                <w:sz w:val="19"/>
              </w:rPr>
              <w:t>C</w:t>
            </w:r>
          </w:p>
        </w:tc>
        <w:tc>
          <w:tcPr>
            <w:tcW w:type="dxa" w:w="1296"/>
            <w:shd w:fill="F1F3F6"/>
          </w:tcPr>
          <w:p>
            <w:pPr>
              <w:spacing w:after="80" w:before="60"/>
            </w:pPr>
            <w:r>
              <w:rPr>
                <w:sz w:val="19"/>
              </w:rPr>
              <w:t>2</w:t>
            </w:r>
          </w:p>
        </w:tc>
        <w:tc>
          <w:tcPr>
            <w:tcW w:type="dxa" w:w="2016"/>
            <w:shd w:fill="F1F3F6"/>
          </w:tcPr>
          <w:p>
            <w:pPr>
              <w:spacing w:after="80" w:before="60"/>
            </w:pPr>
            <w:r>
              <w:rPr>
                <w:sz w:val="19"/>
              </w:rPr>
              <w:t>8</w:t>
            </w:r>
          </w:p>
        </w:tc>
      </w:tr>
    </w:tbl>
    <w:p>
      <w:r>
        <w:t>S1 : D101, D102, D103. S2 : D104, D105, D106. D101 = plafond((50 × 1 + 61 × 2) / 3) = plafond(57,333…) = 58. D102 = (34 + 70) / 2 = 52; D103 = (40 + 46) / 2 = 43. Les autres UE valent respectivement 78, 63 et 53.</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2448"/>
        <w:gridCol w:w="2592"/>
        <w:gridCol w:w="2160"/>
      </w:tblGrid>
      <w:tr>
        <w:trPr>
          <w:cantSplit/>
          <w:tblHeader/>
        </w:trPr>
        <w:tc>
          <w:tcPr>
            <w:tcW w:type="dxa" w:w="1440"/>
            <w:shd w:fill="1B2942"/>
          </w:tcPr>
          <w:p>
            <w:pPr>
              <w:spacing w:after="80" w:before="60"/>
            </w:pPr>
            <w:r>
              <w:rPr>
                <w:b/>
                <w:color w:val="FFFFFF"/>
                <w:sz w:val="19"/>
              </w:rPr>
              <w:t>Période</w:t>
            </w:r>
          </w:p>
        </w:tc>
        <w:tc>
          <w:tcPr>
            <w:tcW w:type="dxa" w:w="1440"/>
            <w:shd w:fill="1B2942"/>
          </w:tcPr>
          <w:p>
            <w:pPr>
              <w:spacing w:after="80" w:before="60"/>
            </w:pPr>
            <w:r>
              <w:rPr>
                <w:b/>
                <w:color w:val="FFFFFF"/>
                <w:sz w:val="19"/>
              </w:rPr>
              <w:t>Crédits</w:t>
            </w:r>
          </w:p>
        </w:tc>
        <w:tc>
          <w:tcPr>
            <w:tcW w:type="dxa" w:w="2448"/>
            <w:shd w:fill="1B2942"/>
          </w:tcPr>
          <w:p>
            <w:pPr>
              <w:spacing w:after="80" w:before="60"/>
            </w:pPr>
            <w:r>
              <w:rPr>
                <w:b/>
                <w:color w:val="FFFFFF"/>
                <w:sz w:val="19"/>
              </w:rPr>
              <w:t>Somme pondérée</w:t>
            </w:r>
          </w:p>
        </w:tc>
        <w:tc>
          <w:tcPr>
            <w:tcW w:type="dxa" w:w="2592"/>
            <w:shd w:fill="1B2942"/>
          </w:tcPr>
          <w:p>
            <w:pPr>
              <w:spacing w:after="80" w:before="60"/>
            </w:pPr>
            <w:r>
              <w:rPr>
                <w:b/>
                <w:color w:val="FFFFFF"/>
                <w:sz w:val="19"/>
              </w:rPr>
              <w:t>MGP exacte</w:t>
            </w:r>
          </w:p>
        </w:tc>
        <w:tc>
          <w:tcPr>
            <w:tcW w:type="dxa" w:w="2160"/>
            <w:shd w:fill="1B2942"/>
          </w:tcPr>
          <w:p>
            <w:pPr>
              <w:spacing w:after="80" w:before="60"/>
            </w:pPr>
            <w:r>
              <w:rPr>
                <w:b/>
                <w:color w:val="FFFFFF"/>
                <w:sz w:val="19"/>
              </w:rPr>
              <w:t>Affichage</w:t>
            </w:r>
          </w:p>
        </w:tc>
      </w:tr>
      <w:tr>
        <w:trPr>
          <w:cantSplit/>
        </w:trPr>
        <w:tc>
          <w:tcPr>
            <w:tcW w:type="dxa" w:w="1440"/>
            <w:shd w:fill="FFFFFF"/>
          </w:tcPr>
          <w:p>
            <w:pPr>
              <w:spacing w:after="80" w:before="60"/>
            </w:pPr>
            <w:r>
              <w:rPr>
                <w:sz w:val="19"/>
              </w:rPr>
              <w:t>S1</w:t>
            </w:r>
          </w:p>
        </w:tc>
        <w:tc>
          <w:tcPr>
            <w:tcW w:type="dxa" w:w="1440"/>
            <w:shd w:fill="FFFFFF"/>
          </w:tcPr>
          <w:p>
            <w:pPr>
              <w:spacing w:after="80" w:before="60"/>
            </w:pPr>
            <w:r>
              <w:rPr>
                <w:sz w:val="19"/>
              </w:rPr>
              <w:t>15</w:t>
            </w:r>
          </w:p>
        </w:tc>
        <w:tc>
          <w:tcPr>
            <w:tcW w:type="dxa" w:w="2448"/>
            <w:shd w:fill="FFFFFF"/>
          </w:tcPr>
          <w:p>
            <w:pPr>
              <w:spacing w:after="80" w:before="60"/>
            </w:pPr>
            <w:r>
              <w:rPr>
                <w:sz w:val="19"/>
              </w:rPr>
              <w:t>28,30</w:t>
            </w:r>
          </w:p>
        </w:tc>
        <w:tc>
          <w:tcPr>
            <w:tcW w:type="dxa" w:w="2592"/>
            <w:shd w:fill="FFFFFF"/>
          </w:tcPr>
          <w:p>
            <w:pPr>
              <w:spacing w:after="80" w:before="60"/>
            </w:pPr>
            <w:r>
              <w:rPr>
                <w:sz w:val="19"/>
              </w:rPr>
              <w:t>28,30 / 15</w:t>
            </w:r>
          </w:p>
        </w:tc>
        <w:tc>
          <w:tcPr>
            <w:tcW w:type="dxa" w:w="2160"/>
            <w:shd w:fill="FFFFFF"/>
          </w:tcPr>
          <w:p>
            <w:pPr>
              <w:spacing w:after="80" w:before="60"/>
            </w:pPr>
            <w:r>
              <w:rPr>
                <w:sz w:val="19"/>
              </w:rPr>
              <w:t>1,89 / 4</w:t>
            </w:r>
          </w:p>
        </w:tc>
      </w:tr>
      <w:tr>
        <w:trPr>
          <w:cantSplit/>
        </w:trPr>
        <w:tc>
          <w:tcPr>
            <w:tcW w:type="dxa" w:w="1440"/>
            <w:shd w:fill="F1F3F6"/>
          </w:tcPr>
          <w:p>
            <w:pPr>
              <w:spacing w:after="80" w:before="60"/>
            </w:pPr>
            <w:r>
              <w:rPr>
                <w:sz w:val="19"/>
              </w:rPr>
              <w:t>S2</w:t>
            </w:r>
          </w:p>
        </w:tc>
        <w:tc>
          <w:tcPr>
            <w:tcW w:type="dxa" w:w="1440"/>
            <w:shd w:fill="F1F3F6"/>
          </w:tcPr>
          <w:p>
            <w:pPr>
              <w:spacing w:after="80" w:before="60"/>
            </w:pPr>
            <w:r>
              <w:rPr>
                <w:sz w:val="19"/>
              </w:rPr>
              <w:t>15</w:t>
            </w:r>
          </w:p>
        </w:tc>
        <w:tc>
          <w:tcPr>
            <w:tcW w:type="dxa" w:w="2448"/>
            <w:shd w:fill="F1F3F6"/>
          </w:tcPr>
          <w:p>
            <w:pPr>
              <w:spacing w:after="80" w:before="60"/>
            </w:pPr>
            <w:r>
              <w:rPr>
                <w:sz w:val="19"/>
              </w:rPr>
              <w:t>43,70</w:t>
            </w:r>
          </w:p>
        </w:tc>
        <w:tc>
          <w:tcPr>
            <w:tcW w:type="dxa" w:w="2592"/>
            <w:shd w:fill="F1F3F6"/>
          </w:tcPr>
          <w:p>
            <w:pPr>
              <w:spacing w:after="80" w:before="60"/>
            </w:pPr>
            <w:r>
              <w:rPr>
                <w:sz w:val="19"/>
              </w:rPr>
              <w:t>43,70 / 15</w:t>
            </w:r>
          </w:p>
        </w:tc>
        <w:tc>
          <w:tcPr>
            <w:tcW w:type="dxa" w:w="2160"/>
            <w:shd w:fill="F1F3F6"/>
          </w:tcPr>
          <w:p>
            <w:pPr>
              <w:spacing w:after="80" w:before="60"/>
            </w:pPr>
            <w:r>
              <w:rPr>
                <w:sz w:val="19"/>
              </w:rPr>
              <w:t>2,91 / 4</w:t>
            </w:r>
          </w:p>
        </w:tc>
      </w:tr>
      <w:tr>
        <w:trPr>
          <w:cantSplit/>
        </w:trPr>
        <w:tc>
          <w:tcPr>
            <w:tcW w:type="dxa" w:w="1440"/>
            <w:shd w:fill="FFFFFF"/>
          </w:tcPr>
          <w:p>
            <w:pPr>
              <w:spacing w:after="80" w:before="60"/>
            </w:pPr>
            <w:r>
              <w:rPr>
                <w:sz w:val="19"/>
              </w:rPr>
              <w:t>Année</w:t>
            </w:r>
          </w:p>
        </w:tc>
        <w:tc>
          <w:tcPr>
            <w:tcW w:type="dxa" w:w="1440"/>
            <w:shd w:fill="FFFFFF"/>
          </w:tcPr>
          <w:p>
            <w:pPr>
              <w:spacing w:after="80" w:before="60"/>
            </w:pPr>
            <w:r>
              <w:rPr>
                <w:sz w:val="19"/>
              </w:rPr>
              <w:t>30</w:t>
            </w:r>
          </w:p>
        </w:tc>
        <w:tc>
          <w:tcPr>
            <w:tcW w:type="dxa" w:w="2448"/>
            <w:shd w:fill="FFFFFF"/>
          </w:tcPr>
          <w:p>
            <w:pPr>
              <w:spacing w:after="80" w:before="60"/>
            </w:pPr>
            <w:r>
              <w:rPr>
                <w:sz w:val="19"/>
              </w:rPr>
              <w:t>72,00</w:t>
            </w:r>
          </w:p>
        </w:tc>
        <w:tc>
          <w:tcPr>
            <w:tcW w:type="dxa" w:w="2592"/>
            <w:shd w:fill="FFFFFF"/>
          </w:tcPr>
          <w:p>
            <w:pPr>
              <w:spacing w:after="80" w:before="60"/>
            </w:pPr>
            <w:r>
              <w:rPr>
                <w:sz w:val="19"/>
              </w:rPr>
              <w:t>72 / 30 = 2,40</w:t>
            </w:r>
          </w:p>
        </w:tc>
        <w:tc>
          <w:tcPr>
            <w:tcW w:type="dxa" w:w="2160"/>
            <w:shd w:fill="FFFFFF"/>
          </w:tcPr>
          <w:p>
            <w:pPr>
              <w:spacing w:after="80" w:before="60"/>
            </w:pPr>
            <w:r>
              <w:rPr>
                <w:sz w:val="19"/>
              </w:rPr>
              <w:t>2,40 / 4</w:t>
            </w:r>
          </w:p>
        </w:tc>
      </w:tr>
    </w:tbl>
    <w:p>
      <w:r>
        <w:t>Moyenne équivalente annuelle : 2,40 × 5 = 12/20. Décision calculée : ADMIS, car MGP ≥ 2, toutes les UE ≥ 35 et aucune EL. L’EC D102a à 34 ne bloque pas seul l’admission : son UE vaut 52.</w:t>
      </w:r>
    </w:p>
    <w:p>
      <w:pPr>
        <w:pStyle w:val="Heading2"/>
      </w:pPr>
      <w:r>
        <w:t>Liste de rattrapage après publication</w:t>
      </w:r>
    </w:p>
    <w:p>
      <w:r>
        <w:t>EC éligibles à la SN : D102a (34), D103a (40) et D103b (46). D101a (50) est exclu. L’éligibilité est déterminée par EC et ne disparaît pas du seul fait que la décision annuelle est ADMIS. Le libellé obligatoire ou facultatif reste AR03.</w:t>
      </w:r>
    </w:p>
    <w:p>
      <w:r>
        <w:t>État de ce spécimen : calcul vérifié, non publié officiellement. Dans l’application, le bulletin affichera également la date, la session et les références de validation et de publication réelles; aucune signature ou validation humaine n’est simulée ici.</w:t>
      </w:r>
    </w:p>
    <w:p>
      <w:pPr>
        <w:pStyle w:val="Heading1"/>
        <w:pageBreakBefore/>
      </w:pPr>
      <w:r>
        <w:t>16 Vérification après rattrapage et cas limites</w:t>
      </w:r>
    </w:p>
    <w:p>
      <w:pPr>
        <w:pStyle w:val="Heading2"/>
      </w:pPr>
      <w:r>
        <w:t>Variante A compositions autorisées et effectuées</w:t>
      </w:r>
    </w:p>
    <w:p>
      <w:r>
        <w:t>Sur une copie du bulletin v1, chaque EC éligible bénéficie de son unique rattrapage. Les SN suivantes remplacent les anciennes à 50 %; CC et TP ne changent pas.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584"/>
        <w:gridCol w:w="1584"/>
        <w:gridCol w:w="3744"/>
        <w:gridCol w:w="1728"/>
      </w:tblGrid>
      <w:tr>
        <w:trPr>
          <w:cantSplit/>
          <w:tblHeader/>
        </w:trPr>
        <w:tc>
          <w:tcPr>
            <w:tcW w:type="dxa" w:w="1440"/>
            <w:shd w:fill="1B2942"/>
          </w:tcPr>
          <w:p>
            <w:pPr>
              <w:spacing w:after="80" w:before="60"/>
            </w:pPr>
            <w:r>
              <w:rPr>
                <w:b/>
                <w:color w:val="FFFFFF"/>
                <w:sz w:val="19"/>
              </w:rPr>
              <w:t>EC</w:t>
            </w:r>
          </w:p>
        </w:tc>
        <w:tc>
          <w:tcPr>
            <w:tcW w:type="dxa" w:w="1584"/>
            <w:shd w:fill="1B2942"/>
          </w:tcPr>
          <w:p>
            <w:pPr>
              <w:spacing w:after="80" w:before="60"/>
            </w:pPr>
            <w:r>
              <w:rPr>
                <w:b/>
                <w:color w:val="FFFFFF"/>
                <w:sz w:val="19"/>
              </w:rPr>
              <w:t>Ancienne SN</w:t>
            </w:r>
          </w:p>
        </w:tc>
        <w:tc>
          <w:tcPr>
            <w:tcW w:type="dxa" w:w="1584"/>
            <w:shd w:fill="1B2942"/>
          </w:tcPr>
          <w:p>
            <w:pPr>
              <w:spacing w:after="80" w:before="60"/>
            </w:pPr>
            <w:r>
              <w:rPr>
                <w:b/>
                <w:color w:val="FFFFFF"/>
                <w:sz w:val="19"/>
              </w:rPr>
              <w:t>SN retenue</w:t>
            </w:r>
          </w:p>
        </w:tc>
        <w:tc>
          <w:tcPr>
            <w:tcW w:type="dxa" w:w="3744"/>
            <w:shd w:fill="1B2942"/>
          </w:tcPr>
          <w:p>
            <w:pPr>
              <w:spacing w:after="80" w:before="60"/>
            </w:pPr>
            <w:r>
              <w:rPr>
                <w:b/>
                <w:color w:val="FFFFFF"/>
                <w:sz w:val="19"/>
              </w:rPr>
              <w:t>Calcul EC</w:t>
            </w:r>
          </w:p>
        </w:tc>
        <w:tc>
          <w:tcPr>
            <w:tcW w:type="dxa" w:w="1728"/>
            <w:shd w:fill="1B2942"/>
          </w:tcPr>
          <w:p>
            <w:pPr>
              <w:spacing w:after="80" w:before="60"/>
            </w:pPr>
            <w:r>
              <w:rPr>
                <w:b/>
                <w:color w:val="FFFFFF"/>
                <w:sz w:val="19"/>
              </w:rPr>
              <w:t>EC arrondi</w:t>
            </w:r>
          </w:p>
        </w:tc>
      </w:tr>
      <w:tr>
        <w:trPr>
          <w:cantSplit/>
        </w:trPr>
        <w:tc>
          <w:tcPr>
            <w:tcW w:type="dxa" w:w="1440"/>
            <w:shd w:fill="FFFFFF"/>
          </w:tcPr>
          <w:p>
            <w:pPr>
              <w:spacing w:after="80" w:before="60"/>
            </w:pPr>
            <w:r>
              <w:rPr>
                <w:sz w:val="19"/>
              </w:rPr>
              <w:t>D102a</w:t>
            </w:r>
          </w:p>
        </w:tc>
        <w:tc>
          <w:tcPr>
            <w:tcW w:type="dxa" w:w="1584"/>
            <w:shd w:fill="FFFFFF"/>
          </w:tcPr>
          <w:p>
            <w:pPr>
              <w:spacing w:after="80" w:before="60"/>
            </w:pPr>
            <w:r>
              <w:rPr>
                <w:sz w:val="19"/>
              </w:rPr>
              <w:t>34</w:t>
            </w:r>
          </w:p>
        </w:tc>
        <w:tc>
          <w:tcPr>
            <w:tcW w:type="dxa" w:w="1584"/>
            <w:shd w:fill="FFFFFF"/>
          </w:tcPr>
          <w:p>
            <w:pPr>
              <w:spacing w:after="80" w:before="60"/>
            </w:pPr>
            <w:r>
              <w:rPr>
                <w:sz w:val="19"/>
              </w:rPr>
              <w:t>70</w:t>
            </w:r>
          </w:p>
        </w:tc>
        <w:tc>
          <w:tcPr>
            <w:tcW w:type="dxa" w:w="3744"/>
            <w:shd w:fill="FFFFFF"/>
          </w:tcPr>
          <w:p>
            <w:pPr>
              <w:spacing w:after="80" w:before="60"/>
            </w:pPr>
            <w:r>
              <w:rPr>
                <w:sz w:val="19"/>
              </w:rPr>
              <w:t>10,2 + 6,8 + 35 = 52</w:t>
            </w:r>
          </w:p>
        </w:tc>
        <w:tc>
          <w:tcPr>
            <w:tcW w:type="dxa" w:w="1728"/>
            <w:shd w:fill="FFFFFF"/>
          </w:tcPr>
          <w:p>
            <w:pPr>
              <w:spacing w:after="80" w:before="60"/>
            </w:pPr>
            <w:r>
              <w:rPr>
                <w:sz w:val="19"/>
              </w:rPr>
              <w:t>52</w:t>
            </w:r>
          </w:p>
        </w:tc>
      </w:tr>
      <w:tr>
        <w:trPr>
          <w:cantSplit/>
        </w:trPr>
        <w:tc>
          <w:tcPr>
            <w:tcW w:type="dxa" w:w="1440"/>
            <w:shd w:fill="F1F3F6"/>
          </w:tcPr>
          <w:p>
            <w:pPr>
              <w:spacing w:after="80" w:before="60"/>
            </w:pPr>
            <w:r>
              <w:rPr>
                <w:sz w:val="19"/>
              </w:rPr>
              <w:t>D103a</w:t>
            </w:r>
          </w:p>
        </w:tc>
        <w:tc>
          <w:tcPr>
            <w:tcW w:type="dxa" w:w="1584"/>
            <w:shd w:fill="F1F3F6"/>
          </w:tcPr>
          <w:p>
            <w:pPr>
              <w:spacing w:after="80" w:before="60"/>
            </w:pPr>
            <w:r>
              <w:rPr>
                <w:sz w:val="19"/>
              </w:rPr>
              <w:t>40</w:t>
            </w:r>
          </w:p>
        </w:tc>
        <w:tc>
          <w:tcPr>
            <w:tcW w:type="dxa" w:w="1584"/>
            <w:shd w:fill="F1F3F6"/>
          </w:tcPr>
          <w:p>
            <w:pPr>
              <w:spacing w:after="80" w:before="60"/>
            </w:pPr>
            <w:r>
              <w:rPr>
                <w:sz w:val="19"/>
              </w:rPr>
              <w:t>60</w:t>
            </w:r>
          </w:p>
        </w:tc>
        <w:tc>
          <w:tcPr>
            <w:tcW w:type="dxa" w:w="3744"/>
            <w:shd w:fill="F1F3F6"/>
          </w:tcPr>
          <w:p>
            <w:pPr>
              <w:spacing w:after="80" w:before="60"/>
            </w:pPr>
            <w:r>
              <w:rPr>
                <w:sz w:val="19"/>
              </w:rPr>
              <w:t>12 + 8 + 30 = 50</w:t>
            </w:r>
          </w:p>
        </w:tc>
        <w:tc>
          <w:tcPr>
            <w:tcW w:type="dxa" w:w="1728"/>
            <w:shd w:fill="F1F3F6"/>
          </w:tcPr>
          <w:p>
            <w:pPr>
              <w:spacing w:after="80" w:before="60"/>
            </w:pPr>
            <w:r>
              <w:rPr>
                <w:sz w:val="19"/>
              </w:rPr>
              <w:t>50</w:t>
            </w:r>
          </w:p>
        </w:tc>
      </w:tr>
      <w:tr>
        <w:trPr>
          <w:cantSplit/>
        </w:trPr>
        <w:tc>
          <w:tcPr>
            <w:tcW w:type="dxa" w:w="1440"/>
            <w:shd w:fill="FFFFFF"/>
          </w:tcPr>
          <w:p>
            <w:pPr>
              <w:spacing w:after="80" w:before="60"/>
            </w:pPr>
            <w:r>
              <w:rPr>
                <w:sz w:val="19"/>
              </w:rPr>
              <w:t>D103b</w:t>
            </w:r>
          </w:p>
        </w:tc>
        <w:tc>
          <w:tcPr>
            <w:tcW w:type="dxa" w:w="1584"/>
            <w:shd w:fill="FFFFFF"/>
          </w:tcPr>
          <w:p>
            <w:pPr>
              <w:spacing w:after="80" w:before="60"/>
            </w:pPr>
            <w:r>
              <w:rPr>
                <w:sz w:val="19"/>
              </w:rPr>
              <w:t>46</w:t>
            </w:r>
          </w:p>
        </w:tc>
        <w:tc>
          <w:tcPr>
            <w:tcW w:type="dxa" w:w="1584"/>
            <w:shd w:fill="FFFFFF"/>
          </w:tcPr>
          <w:p>
            <w:pPr>
              <w:spacing w:after="80" w:before="60"/>
            </w:pPr>
            <w:r>
              <w:rPr>
                <w:sz w:val="19"/>
              </w:rPr>
              <w:t>56</w:t>
            </w:r>
          </w:p>
        </w:tc>
        <w:tc>
          <w:tcPr>
            <w:tcW w:type="dxa" w:w="3744"/>
            <w:shd w:fill="FFFFFF"/>
          </w:tcPr>
          <w:p>
            <w:pPr>
              <w:spacing w:after="80" w:before="60"/>
            </w:pPr>
            <w:r>
              <w:rPr>
                <w:sz w:val="19"/>
              </w:rPr>
              <w:t>13,8 + 9,2 + 28 = 51</w:t>
            </w:r>
          </w:p>
        </w:tc>
        <w:tc>
          <w:tcPr>
            <w:tcW w:type="dxa" w:w="1728"/>
            <w:shd w:fill="FFFFFF"/>
          </w:tcPr>
          <w:p>
            <w:pPr>
              <w:spacing w:after="80" w:before="60"/>
            </w:pPr>
            <w:r>
              <w:rPr>
                <w:sz w:val="19"/>
              </w:rPr>
              <w:t>51</w:t>
            </w:r>
          </w:p>
        </w:tc>
      </w:tr>
    </w:tbl>
    <w:p>
      <w:r>
        <w:t>D102 devient (52 + 70) / 2 = 61 : B−, 2,70 points, contribution 10,80. D103 devient plafond((50 + 51) / 2) = 51 : C, 2 points, contribution 10. Les autres UE restent inchangées.</w:t>
      </w:r>
    </w:p>
    <w:p>
      <w:r>
        <w:t>S1 : (13,80 + 10,80 + 10) / 15 = 34,60 / 15 = 2,3066… → affichage 2,31. S2 : 43,70 / 15 → 2,91. Année : 78,30 / 30 = 2,61; équivalent 13,05/20. Décision ADMIS. L’enseignant valide puis l’agent republie; v1 reste conservée.</w:t>
      </w:r>
    </w:p>
    <w:p>
      <w:pPr>
        <w:pStyle w:val="Heading2"/>
      </w:pPr>
      <w:r>
        <w:t>Variante B absence au rattrapage</w:t>
      </w:r>
    </w:p>
    <w:p>
      <w:r>
        <w:t>Indépendamment de A, repartir de v1 et supposer D102a absent à son rattrapage : D102 porte EL, même si D102b vaut 70. Sa contribution devient 0 × 4 = 0; ses 4 crédits restent inclus. MGP annuelle = (72 − 8) / 30 = 2,1333… → 2,13; équivalent exact 10,666…/20 → 10,67. Décision ÉCHEC malgré MGP &gt; 2. EL reste affiché sur D102.</w:t>
      </w:r>
    </w:p>
    <w:p>
      <w:r>
        <w:t>Si cet étudiant reprend le niveau dans cette variante : D102 (EL) et D103 (43) sont à recomposer dans leurs deux EC, y compris D102b à 70. D101, D104, D105 et D106 sont conservées. La nouvelle année possède ses propres inscriptions et notes.</w:t>
      </w:r>
    </w:p>
    <w:p>
      <w:pPr>
        <w:pStyle w:val="Heading2"/>
      </w:pPr>
      <w:r>
        <w:t>Variante C note de rattrapage plus basse</w:t>
      </w:r>
    </w:p>
    <w:p>
      <w:r>
        <w:t>Indépendamment de A et B, une SN de rattrapage de 20 remplace 34 pour D102a : 10,2 + 6,8 + 10 = 27. D102 devient plafond((27 + 70) / 2) = 49. La note de 34 n’est pas rétablie, aucun maximum n’est pris et aucun second rattrapage n’est ouvert.</w:t>
      </w:r>
    </w:p>
    <w:p>
      <w:r>
        <w:t>Bilan : calculs vérifiés par arithmétique décimale et assertions sur les résultats attendus. Les scénarios A, B et C sont alternatifs; ils ne représentent pas trois tentatives pour le même étudiant.</w:t>
      </w:r>
    </w:p>
    <w:sectPr w:rsidR="00FC693F" w:rsidRPr="0006063C" w:rsidSect="00034616">
      <w:headerReference w:type="default" r:id="rId9"/>
      <w:footerReference w:type="default" r:id="rId10"/>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GNU  |  Version 1.2  |  09 septembre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GNU   •   GESTION DES NOTES   •   SPÉCIFICATIONS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IBM Plex Sans" w:hAnsi="IBM Plex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IBM Plex Sans" w:hAnsi="IBM Plex Sans"/>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IBM Plex Sans" w:hAnsi="IBM Plex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80"/>
      <w:contextualSpacing/>
    </w:pPr>
    <w:rPr>
      <w:rFonts w:asciiTheme="majorHAnsi" w:eastAsiaTheme="majorEastAsia" w:hAnsiTheme="majorHAnsi" w:cstheme="majorBidi" w:ascii="IBM Plex Sans" w:hAnsi="IBM Plex Sans"/>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BM Plex Sans" w:hAnsi="IBM Plex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spécifications GNU</dc:title>
  <dc:subject>Spécifications fonctionnelles et exigences de qualité avant implémentation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1.2</cp:version>
</cp:coreProperties>
</file>