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4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nu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BM Plex Mono" w:hAnsi="IBM Plex Mono"/>
          <w:color w:val="8C2F2F"/>
          <w:sz w:val="22"/>
        </w:rPr>
        <w:t>GESTION DES NOTES D’UNE UNIVERSITÉ</w:t>
      </w:r>
    </w:p>
    <w:p>
      <w:pPr>
        <w:jc w:val="center"/>
      </w:pPr>
      <w:r>
        <w:rPr>
          <w:rFonts w:ascii="Fraunces" w:hAnsi="Fraunces"/>
          <w:color w:val="1B2942"/>
          <w:sz w:val="36"/>
        </w:rPr>
        <w:t>Dossier de conception fonctionnelle, technique et de marque</w:t>
        <w:br/>
        <w:t>Flutter/Dart · Laravel/PHP · PostgreSQL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17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PORTEUR</w:t>
            </w:r>
          </w:p>
        </w:tc>
        <w:tc>
          <w:tcPr>
            <w:tcW w:type="dxa" w:w="317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ENCADREMENT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Version finale de conception</w:t>
            </w:r>
          </w:p>
        </w:tc>
        <w:tc>
          <w:tcPr>
            <w:tcW w:type="dxa" w:w="317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Ngue Mbong André Fitzgerald</w:t>
            </w:r>
          </w:p>
        </w:tc>
        <w:tc>
          <w:tcPr>
            <w:tcW w:type="dxa" w:w="317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Dr Thomas Messi Nguele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1EEE2"/>
            <w:tcBorders>
              <w:top w:val="single" w:sz="10" w:color="8C2F2F"/>
              <w:left w:val="single" w:sz="10" w:color="8C2F2F"/>
              <w:bottom w:val="single" w:sz="10" w:color="8C2F2F"/>
              <w:right w:val="single" w:sz="10" w:color="8C2F2F"/>
              <w:insideH w:val="single" w:sz="10" w:color="8C2F2F"/>
              <w:insideV w:val="single" w:sz="10" w:color="8C2F2F"/>
            </w:tcBorders>
          </w:tcPr>
          <w:p>
            <w:pPr>
              <w:spacing w:after="0"/>
            </w:pPr>
            <w:r/>
            <w:r>
              <w:rPr>
                <w:rFonts w:ascii="IBM Plex Mono" w:hAnsi="IBM Plex Mono"/>
                <w:b/>
                <w:color w:val="8C2F2F"/>
                <w:sz w:val="18"/>
              </w:rPr>
              <w:t xml:space="preserve">DÉCISION D’ARCHITECTURE  </w:t>
            </w:r>
            <w:r>
              <w:rPr>
                <w:rFonts w:ascii="IBM Plex Sans" w:hAnsi="IBM Plex Sans"/>
                <w:color w:val="1B2942"/>
                <w:sz w:val="20"/>
              </w:rPr>
              <w:t>Application Flutter/Dart connectée à une API REST Laravel/PHP et à une base PostgreSQL centralisée. L’authentification utilise Laravel Sanctum et les rôles métier.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Table des matières</w:t>
      </w:r>
    </w:p>
    <w:p>
      <w:pPr>
        <w:pStyle w:val="CodeData"/>
      </w:pPr>
      <w:r>
        <w:t>1. Synthèse et décisions</w:t>
      </w:r>
    </w:p>
    <w:p>
      <w:pPr>
        <w:pStyle w:val="CodeData"/>
      </w:pPr>
      <w:r>
        <w:t>2. Périmètre et acteurs</w:t>
      </w:r>
    </w:p>
    <w:p>
      <w:pPr>
        <w:pStyle w:val="CodeData"/>
      </w:pPr>
      <w:r>
        <w:t>3. Exigences et règles de gestion</w:t>
      </w:r>
    </w:p>
    <w:p>
      <w:pPr>
        <w:pStyle w:val="CodeData"/>
      </w:pPr>
      <w:r>
        <w:t>4. Modèle conceptuel de données</w:t>
      </w:r>
    </w:p>
    <w:p>
      <w:pPr>
        <w:pStyle w:val="CodeData"/>
      </w:pPr>
      <w:r>
        <w:t>5. Architecture Flutter</w:t>
      </w:r>
    </w:p>
    <w:p>
      <w:pPr>
        <w:pStyle w:val="CodeData"/>
      </w:pPr>
      <w:r>
        <w:t>6. Parcours et états métier</w:t>
      </w:r>
    </w:p>
    <w:p>
      <w:pPr>
        <w:pStyle w:val="CodeData"/>
      </w:pPr>
      <w:r>
        <w:t>7. Conception des interfaces</w:t>
      </w:r>
    </w:p>
    <w:p>
      <w:pPr>
        <w:pStyle w:val="CodeData"/>
      </w:pPr>
      <w:r>
        <w:t>8. Sécurité, qualité et tests</w:t>
      </w:r>
    </w:p>
    <w:p>
      <w:pPr>
        <w:pStyle w:val="CodeData"/>
      </w:pPr>
      <w:r>
        <w:t>9. Backlog et plan de réalisation</w:t>
      </w:r>
    </w:p>
    <w:p>
      <w:pPr>
        <w:pStyle w:val="CodeData"/>
      </w:pPr>
      <w:r>
        <w:t>10. Critères de validation</w:t>
      </w:r>
    </w:p>
    <w:p>
      <w:r>
        <w:br w:type="page"/>
      </w:r>
    </w:p>
    <w:p>
      <w:pPr>
        <w:pStyle w:val="Title"/>
      </w:pPr>
      <w:r>
        <w:t>1. Synthèse et décisions</w:t>
      </w:r>
    </w:p>
    <w:p>
      <w:r>
        <w:t>GNU vise à fiabiliser la saisie, la vérification, le calcul, la publication et la consultation des notes dans une université camerounaise organisée selon le système LMD. Flutter/Dart fournit les interfaces, Laravel/PHP sécurise et exécute les règles métier, tandis que PostgreSQL centralise les données.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Décision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Choix retenu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Conséquence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D-01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Flutter + Laravel + PostgreSQL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Architecture client–serveur et données partagées.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D-02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Classe = groupe pédagogique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Même niveau, filière et année; Salle reste hors du MVP.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D-03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Trois profils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Étudiant, Enseignant, Agent informatique.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D-04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Calcul à la demande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Les moyennes sont calculées depuis les notes validées; le bulletin publié constitue un instantané.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D-05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API sécurisée</w:t>
            </w:r>
          </w:p>
        </w:tc>
        <w:tc>
          <w:tcPr>
            <w:tcW w:type="dxa" w:w="532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Sanctum, autorisations par rôle et journal d’audit.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1EEE2"/>
            <w:tcBorders>
              <w:top w:val="single" w:sz="10" w:color="3C6E52"/>
              <w:left w:val="single" w:sz="10" w:color="3C6E52"/>
              <w:bottom w:val="single" w:sz="10" w:color="3C6E52"/>
              <w:right w:val="single" w:sz="10" w:color="3C6E52"/>
              <w:insideH w:val="single" w:sz="10" w:color="3C6E52"/>
              <w:insideV w:val="single" w:sz="10" w:color="3C6E52"/>
            </w:tcBorders>
          </w:tcPr>
          <w:p>
            <w:pPr>
              <w:spacing w:after="0"/>
            </w:pPr>
            <w:r/>
            <w:r>
              <w:rPr>
                <w:rFonts w:ascii="IBM Plex Mono" w:hAnsi="IBM Plex Mono"/>
                <w:b/>
                <w:color w:val="3C6E52"/>
                <w:sz w:val="18"/>
              </w:rPr>
              <w:t xml:space="preserve">PRINCIPE DIRECTEUR  </w:t>
            </w:r>
            <w:r>
              <w:rPr>
                <w:rFonts w:ascii="IBM Plex Sans" w:hAnsi="IBM Plex Sans"/>
                <w:color w:val="1B2942"/>
                <w:sz w:val="20"/>
              </w:rPr>
              <w:t>PostgreSQL est l’unique source de vérité. Les validations et calculs officiels sont exécutés par Laravel, jamais uniquement dans Flutter.</w:t>
            </w:r>
          </w:p>
        </w:tc>
      </w:tr>
    </w:tbl>
    <w:p>
      <w:pPr>
        <w:spacing w:after="20"/>
      </w:pPr>
    </w:p>
    <w:p>
      <w:pPr>
        <w:pStyle w:val="Title"/>
      </w:pPr>
      <w:r>
        <w:t>2. Périmètre et acteurs</w:t>
      </w:r>
    </w:p>
    <w:p>
      <w:pPr>
        <w:pStyle w:val="Heading1"/>
      </w:pPr>
      <w:r>
        <w:t>2.1 Objectif du MVP</w:t>
      </w:r>
    </w:p>
    <w:p>
      <w:pPr>
        <w:pStyle w:val="ListBullet"/>
        <w:spacing w:after="60"/>
      </w:pPr>
      <w:r>
        <w:t>Administrer la structure académique et l’année universitaire.</w:t>
      </w:r>
    </w:p>
    <w:p>
      <w:pPr>
        <w:pStyle w:val="ListBullet"/>
        <w:spacing w:after="60"/>
      </w:pPr>
      <w:r>
        <w:t>Inscrire étudiants et enseignants dans une classe et des matières.</w:t>
      </w:r>
    </w:p>
    <w:p>
      <w:pPr>
        <w:pStyle w:val="ListBullet"/>
        <w:spacing w:after="60"/>
      </w:pPr>
      <w:r>
        <w:t>Créer les évaluations CC, TP, SN et saisir les notes.</w:t>
      </w:r>
    </w:p>
    <w:p>
      <w:pPr>
        <w:pStyle w:val="ListBullet"/>
        <w:spacing w:after="60"/>
      </w:pPr>
      <w:r>
        <w:t>Faire valider puis publier les résultats.</w:t>
      </w:r>
    </w:p>
    <w:p>
      <w:pPr>
        <w:pStyle w:val="ListBullet"/>
        <w:spacing w:after="60"/>
      </w:pPr>
      <w:r>
        <w:t>Calculer les moyennes semestrielles et annuelles.</w:t>
      </w:r>
    </w:p>
    <w:p>
      <w:pPr>
        <w:pStyle w:val="ListBullet"/>
        <w:spacing w:after="60"/>
      </w:pPr>
      <w:r>
        <w:t>Permettre à l’étudiant de consulter ses résultats et de soumettre une requête.</w:t>
      </w:r>
    </w:p>
    <w:p>
      <w:pPr>
        <w:pStyle w:val="Heading1"/>
      </w:pPr>
      <w:r>
        <w:t>2.2 Acteurs et responsabilités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Acteur</w:t>
            </w:r>
          </w:p>
        </w:tc>
        <w:tc>
          <w:tcPr>
            <w:tcW w:type="dxa" w:w="396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Responsabilités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Interdictions principales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Agent</w:t>
            </w:r>
          </w:p>
        </w:tc>
        <w:tc>
          <w:tcPr>
            <w:tcW w:type="dxa" w:w="396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Structure, comptes, inscriptions, publication, archivage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Ne modifie pas silencieusement une note validée.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Enseignant</w:t>
            </w:r>
          </w:p>
        </w:tc>
        <w:tc>
          <w:tcPr>
            <w:tcW w:type="dxa" w:w="396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Évaluations, saisie, contrôle, correction, requêtes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Accès limité à ses affectations.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Étudiant</w:t>
            </w:r>
          </w:p>
        </w:tc>
        <w:tc>
          <w:tcPr>
            <w:tcW w:type="dxa" w:w="3969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Consultation, choix/reprise, requêtes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Aucune modification directe des notes.</w:t>
            </w:r>
          </w:p>
        </w:tc>
      </w:tr>
    </w:tbl>
    <w:p>
      <w:pPr>
        <w:spacing w:after="20"/>
      </w:pPr>
    </w:p>
    <w:p>
      <w:pPr>
        <w:pStyle w:val="Heading1"/>
      </w:pPr>
      <w:r>
        <w:t>2.3 Hors périmètre initial</w:t>
      </w:r>
    </w:p>
    <w:p>
      <w:pPr>
        <w:pStyle w:val="ListBullet"/>
        <w:spacing w:after="60"/>
      </w:pPr>
      <w:r>
        <w:t>Emplois du temps et salles physiques.</w:t>
      </w:r>
    </w:p>
    <w:p>
      <w:pPr>
        <w:pStyle w:val="ListBullet"/>
        <w:spacing w:after="60"/>
      </w:pPr>
      <w:r>
        <w:t>Paiement des droits universitaires.</w:t>
      </w:r>
    </w:p>
    <w:p>
      <w:pPr>
        <w:pStyle w:val="ListBullet"/>
        <w:spacing w:after="60"/>
      </w:pPr>
      <w:r>
        <w:t>Synchronisation multi-appareils en temps réel.</w:t>
      </w:r>
    </w:p>
    <w:p>
      <w:pPr>
        <w:pStyle w:val="ListBullet"/>
        <w:spacing w:after="60"/>
      </w:pPr>
      <w:r>
        <w:t>Notifications SMS et e-mail.</w:t>
      </w:r>
    </w:p>
    <w:p>
      <w:pPr>
        <w:pStyle w:val="ListBullet"/>
        <w:spacing w:after="60"/>
      </w:pPr>
      <w:r>
        <w:t>Signature électronique officielle des bulletins.</w:t>
      </w:r>
    </w:p>
    <w:p>
      <w:pPr>
        <w:pStyle w:val="Title"/>
      </w:pPr>
      <w:r>
        <w:t>3. Exigences et règles de gestion</w:t>
      </w:r>
    </w:p>
    <w:p>
      <w:pPr>
        <w:pStyle w:val="Heading1"/>
      </w:pPr>
      <w:r>
        <w:t>3.1 Exigences fonctionnelles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Exigence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EF-01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Authentifier un utilisateur et appliquer son rôle.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EF-02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Gérer universités, facultés, départements, filières, niveaux et classes.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EF-03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Gérer UE, matières, semestres et coefficients.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EF-04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Inscrire un étudiant dans une classe pour une année.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EF-05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Affecter un enseignant à une matière et une classe.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EF-06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Créer une évaluation et saisir les notes.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EF-07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Vérifier, verrouiller et publier les notes.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EF-08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Calculer résultats, crédits et moyennes.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EF-09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Générer un bulletin semestriel et annuel.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EF-10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Soumettre et traiter une requête de note.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Haute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EF-11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Conserver un journal des modifications.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Moyenne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EF-12</w:t>
            </w:r>
          </w:p>
        </w:tc>
        <w:tc>
          <w:tcPr>
            <w:tcW w:type="dxa" w:w="669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Exporter un bulletin en PDF.</w:t>
            </w:r>
          </w:p>
        </w:tc>
        <w:tc>
          <w:tcPr>
            <w:tcW w:type="dxa" w:w="147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Moyenne</w:t>
            </w:r>
          </w:p>
        </w:tc>
      </w:tr>
    </w:tbl>
    <w:p>
      <w:pPr>
        <w:spacing w:after="20"/>
      </w:pPr>
    </w:p>
    <w:p>
      <w:pPr>
        <w:pStyle w:val="Heading1"/>
      </w:pPr>
      <w:r>
        <w:t>3.2 Règles de gestion</w:t>
      </w:r>
    </w:p>
    <w:p>
      <w:pPr>
        <w:pStyle w:val="ListBullet"/>
        <w:spacing w:after="60"/>
      </w:pPr>
      <w:r>
        <w:t>RG-01 — Un étudiant possède un matricule unique.</w:t>
      </w:r>
    </w:p>
    <w:p>
      <w:pPr>
        <w:pStyle w:val="ListBullet"/>
        <w:spacing w:after="60"/>
      </w:pPr>
      <w:r>
        <w:t>RG-02 — Une inscription relie un étudiant à une classe et une année académique.</w:t>
      </w:r>
    </w:p>
    <w:p>
      <w:pPr>
        <w:pStyle w:val="ListBullet"/>
        <w:spacing w:after="60"/>
      </w:pPr>
      <w:r>
        <w:t>RG-03 — Une classe regroupe les étudiants d’un même niveau, dans une filière et pour une année académique.</w:t>
      </w:r>
    </w:p>
    <w:p>
      <w:pPr>
        <w:pStyle w:val="ListBullet"/>
        <w:spacing w:after="60"/>
      </w:pPr>
      <w:r>
        <w:t>RG-04 — Un étudiant ne possède qu’une inscription active par année académique.</w:t>
      </w:r>
    </w:p>
    <w:p>
      <w:pPr>
        <w:pStyle w:val="ListBullet"/>
        <w:spacing w:after="60"/>
      </w:pPr>
      <w:r>
        <w:t>RG-05 — Une UE appartient à un niveau et à un semestre; elle contient au moins une matière.</w:t>
      </w:r>
    </w:p>
    <w:p>
      <w:pPr>
        <w:pStyle w:val="ListBullet"/>
        <w:spacing w:after="60"/>
      </w:pPr>
      <w:r>
        <w:t>RG-06 — Une affectation relie un enseignant, une matière, une classe et une année académique.</w:t>
      </w:r>
    </w:p>
    <w:p>
      <w:pPr>
        <w:pStyle w:val="ListBullet"/>
        <w:spacing w:after="60"/>
      </w:pPr>
      <w:r>
        <w:t>RG-07 — Toute note est comprise entre 0 et 20.</w:t>
      </w:r>
    </w:p>
    <w:p>
      <w:pPr>
        <w:pStyle w:val="ListBullet"/>
        <w:spacing w:after="60"/>
      </w:pPr>
      <w:r>
        <w:t>RG-08 — Avec TP : finale = 20 % CC + 30 % TP + 50 % SN.</w:t>
      </w:r>
    </w:p>
    <w:p>
      <w:pPr>
        <w:pStyle w:val="ListBullet"/>
        <w:spacing w:after="60"/>
      </w:pPr>
      <w:r>
        <w:t>RG-09 — Sans TP : finale = 30 % CC + 70 % SN.</w:t>
      </w:r>
    </w:p>
    <w:p>
      <w:pPr>
        <w:pStyle w:val="ListBullet"/>
        <w:spacing w:after="60"/>
      </w:pPr>
      <w:r>
        <w:t>RG-10 — Une note absente reste MANQUANTE; elle n’est jamais remplacée automatiquement par zéro.</w:t>
      </w:r>
    </w:p>
    <w:p>
      <w:pPr>
        <w:pStyle w:val="ListBullet"/>
        <w:spacing w:after="60"/>
      </w:pPr>
      <w:r>
        <w:t>RG-11 — Seules les notes VALIDÉES participent au résultat publiable.</w:t>
      </w:r>
    </w:p>
    <w:p>
      <w:pPr>
        <w:pStyle w:val="ListBullet"/>
        <w:spacing w:after="60"/>
      </w:pPr>
      <w:r>
        <w:t>RG-12 — Après publication, toute correction exige une action journalisée.</w:t>
      </w:r>
    </w:p>
    <w:p>
      <w:pPr>
        <w:pStyle w:val="ListBullet"/>
        <w:spacing w:after="60"/>
      </w:pPr>
      <w:r>
        <w:t>RG-13 — Une requête peut viser une matière même sans note existante.</w:t>
      </w:r>
    </w:p>
    <w:p>
      <w:pPr>
        <w:pStyle w:val="ListBullet"/>
        <w:spacing w:after="60"/>
      </w:pPr>
      <w:r>
        <w:t>RG-14 — Un bulletin appartient à un étudiant, une année et une période.</w:t>
      </w:r>
    </w:p>
    <w:p>
      <w:pPr>
        <w:pStyle w:val="ListBullet"/>
        <w:spacing w:after="60"/>
      </w:pPr>
      <w:r>
        <w:t>RG-15 — Salle désigne un local physique et reste hors du MVP.</w:t>
      </w:r>
    </w:p>
    <w:p>
      <w:r>
        <w:br w:type="page"/>
      </w:r>
    </w:p>
    <w:p>
      <w:pPr>
        <w:pStyle w:val="Title"/>
      </w:pPr>
      <w:r>
        <w:t>4. Modèle conceptuel de données</w:t>
      </w:r>
    </w:p>
    <w:p>
      <w:pPr>
        <w:pStyle w:val="Heading1"/>
      </w:pPr>
      <w:r>
        <w:t>4.1 Entités définitives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Entité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Attributs principaux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Utilisateur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login, motDePasseHash, role, actif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Etudiant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matricule, nom, prénom, utilisateurId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Enseignant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eid, nom, prénom, fonction, utilisateurId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Agent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idAgent, nom, prénom, utilisateurId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Universite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codeUniv, nom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Faculte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codeFac, nom, universiteId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Departement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codeDep, nom, faculteId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Filiere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codeFiliere, nom, departementId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Niveau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codeNiveau, cycle, libellé, filiereId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AnneeAcademique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libellé, dateDébut, dateFin, active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Classe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codeClasse, libellé, niveauId, filiereId, anneeId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InscriptionClasse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étudiantId, classeId, dateInscription, statut, redoublant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Semestre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numéro, niveauId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UE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codeUE, intitulé, crédits, semestreId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Matiere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codeMatiere, intitulé, avecTP, coeffCC, coeffTP, coeffSN, ueId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Affectation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enseignantId, matièreId, classeId, anneeId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ChoixMatiere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inscriptionId, matièreId, typeChoix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Evaluation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type, date, matièreId, classeId, statut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Note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valeur, statut, étudiantId, evaluationId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Requete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objet, description, statut, dates, réponse, étudiantId, matièreId, noteId?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Bulletin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période, mgp, décision, publiéLe, étudiantId, annéeId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JournalAudit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id, action, dateHeure, utilisateurId, entité, entitéId</w:t>
            </w:r>
          </w:p>
        </w:tc>
      </w:tr>
    </w:tbl>
    <w:p>
      <w:pPr>
        <w:spacing w:after="20"/>
      </w:pPr>
    </w:p>
    <w:p>
      <w:pPr>
        <w:pStyle w:val="Heading1"/>
      </w:pPr>
      <w:r>
        <w:t>4.2 Cardinalités structurantes</w:t>
      </w:r>
    </w:p>
    <w:p>
      <w:pPr>
        <w:pStyle w:val="ListBullet"/>
        <w:spacing w:after="60"/>
      </w:pPr>
      <w:r>
        <w:t>Université 1 — 0..* Facultés — 0..* Départements — 0..* Filières — 0..* Niveaux.</w:t>
      </w:r>
    </w:p>
    <w:p>
      <w:pPr>
        <w:pStyle w:val="ListBullet"/>
        <w:spacing w:after="60"/>
      </w:pPr>
      <w:r>
        <w:t>Niveau 1 — 0..* Classes et 1 — 1..* Semestres.</w:t>
      </w:r>
    </w:p>
    <w:p>
      <w:pPr>
        <w:pStyle w:val="ListBullet"/>
        <w:spacing w:after="60"/>
      </w:pPr>
      <w:r>
        <w:t>UE 1 — 1..* Matières.</w:t>
      </w:r>
    </w:p>
    <w:p>
      <w:pPr>
        <w:pStyle w:val="ListBullet"/>
        <w:spacing w:after="60"/>
      </w:pPr>
      <w:r>
        <w:t>Étudiant 1 — 0..* InscriptionsClasse.</w:t>
      </w:r>
    </w:p>
    <w:p>
      <w:pPr>
        <w:pStyle w:val="ListBullet"/>
        <w:spacing w:after="60"/>
      </w:pPr>
      <w:r>
        <w:t>Enseignant 1 — 0..* Affectations; Matière 1 — 0..* Affectations.</w:t>
      </w:r>
    </w:p>
    <w:p>
      <w:pPr>
        <w:pStyle w:val="ListBullet"/>
        <w:spacing w:after="60"/>
      </w:pPr>
      <w:r>
        <w:t>Évaluation 1 — 0..* Notes; Étudiant 1 — 0..* Notes.</w:t>
      </w:r>
    </w:p>
    <w:p>
      <w:pPr>
        <w:pStyle w:val="ListBullet"/>
        <w:spacing w:after="60"/>
      </w:pPr>
      <w:r>
        <w:t>Requête — Note : 0..1, afin d’autoriser une réclamation pour note manquante.</w:t>
      </w:r>
    </w:p>
    <w:p>
      <w:pPr>
        <w:pStyle w:val="Heading1"/>
      </w:pPr>
      <w:r>
        <w:t>4.3 Contraintes d’unicité</w:t>
      </w:r>
    </w:p>
    <w:p>
      <w:pPr>
        <w:pStyle w:val="ListBullet"/>
        <w:spacing w:after="60"/>
      </w:pPr>
      <w:r>
        <w:t>(étudiant, classe) unique pour une inscription active.</w:t>
      </w:r>
    </w:p>
    <w:p>
      <w:pPr>
        <w:pStyle w:val="ListBullet"/>
        <w:spacing w:after="60"/>
      </w:pPr>
      <w:r>
        <w:t>(enseignant, matière, classe) unique pour une affectation.</w:t>
      </w:r>
    </w:p>
    <w:p>
      <w:pPr>
        <w:pStyle w:val="ListBullet"/>
        <w:spacing w:after="60"/>
      </w:pPr>
      <w:r>
        <w:t>(étudiant, évaluation) unique pour une note.</w:t>
      </w:r>
    </w:p>
    <w:p>
      <w:pPr>
        <w:pStyle w:val="ListBullet"/>
        <w:spacing w:after="60"/>
      </w:pPr>
      <w:r>
        <w:t>(étudiant, année, période, versionCourante) unique pour un bulletin courant.</w:t>
      </w:r>
    </w:p>
    <w:p>
      <w:pPr>
        <w:pStyle w:val="ListBullet"/>
        <w:spacing w:after="60"/>
      </w:pPr>
      <w:r>
        <w:t>Somme des pondérations d’une matière = 1,00.</w:t>
      </w:r>
    </w:p>
    <w:p>
      <w:pPr>
        <w:pStyle w:val="Title"/>
      </w:pPr>
      <w:r>
        <w:t>5. Architecture Flutter, Laravel et PostgreSQL</w:t>
      </w:r>
    </w:p>
    <w:p>
      <w:r>
        <w:t>Le système adopte une architecture client–serveur. Flutter communique uniquement avec l’API REST; Laravel applique les règles métier et accède à PostgreSQL avec l’ORM Eloquent.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Couche</w:t>
            </w:r>
          </w:p>
        </w:tc>
        <w:tc>
          <w:tcPr>
            <w:tcW w:type="dxa" w:w="408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Contenu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Dépend de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Client Flutter</w:t>
            </w:r>
          </w:p>
        </w:tc>
        <w:tc>
          <w:tcPr>
            <w:tcW w:type="dxa" w:w="408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Screens, widgets GNU, navigation, Riverpod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API REST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API Laravel</w:t>
            </w:r>
          </w:p>
        </w:tc>
        <w:tc>
          <w:tcPr>
            <w:tcW w:type="dxa" w:w="408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Routes, contrôleurs, Form Requests, Sanctum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Services métier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Métier</w:t>
            </w:r>
          </w:p>
        </w:tc>
        <w:tc>
          <w:tcPr>
            <w:tcW w:type="dxa" w:w="408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Calculs, publication, requêtes, audit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Modèles Eloquent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PostgreSQL</w:t>
            </w:r>
          </w:p>
        </w:tc>
        <w:tc>
          <w:tcPr>
            <w:tcW w:type="dxa" w:w="408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Tables, contraintes, index, transactions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Stockage central</w:t>
            </w:r>
          </w:p>
        </w:tc>
      </w:tr>
    </w:tbl>
    <w:p>
      <w:pPr>
        <w:spacing w:after="20"/>
      </w:pPr>
    </w:p>
    <w:p>
      <w:pPr>
        <w:pStyle w:val="Heading1"/>
      </w:pPr>
      <w:r>
        <w:t>5.1 Organisation du projet</w:t>
      </w:r>
    </w:p>
    <w:p>
      <w:pPr>
        <w:pStyle w:val="ListBullet"/>
        <w:spacing w:after="60"/>
      </w:pPr>
      <w:r>
        <w:t>frontend/lib/core/ : thème GNU, client HTTP, erreurs et navigation.</w:t>
      </w:r>
    </w:p>
    <w:p>
      <w:pPr>
        <w:pStyle w:val="ListBullet"/>
        <w:spacing w:after="60"/>
      </w:pPr>
      <w:r>
        <w:t>frontend/lib/features/ : auth, structure, notes, bulletins et requêtes.</w:t>
      </w:r>
    </w:p>
    <w:p>
      <w:pPr>
        <w:pStyle w:val="ListBullet"/>
        <w:spacing w:after="60"/>
      </w:pPr>
      <w:r>
        <w:t>backend/routes/api.php : routes REST versionnées.</w:t>
      </w:r>
    </w:p>
    <w:p>
      <w:pPr>
        <w:pStyle w:val="ListBullet"/>
        <w:spacing w:after="60"/>
      </w:pPr>
      <w:r>
        <w:t>backend/app/Http/Controllers/ : endpoints et réponses JSON.</w:t>
      </w:r>
    </w:p>
    <w:p>
      <w:pPr>
        <w:pStyle w:val="ListBullet"/>
        <w:spacing w:after="60"/>
      </w:pPr>
      <w:r>
        <w:t>backend/app/Http/Requests/ : validation des entrées.</w:t>
      </w:r>
    </w:p>
    <w:p>
      <w:pPr>
        <w:pStyle w:val="ListBullet"/>
        <w:spacing w:after="60"/>
      </w:pPr>
      <w:r>
        <w:t>backend/app/Services/ : calculs, validation, publication et audit.</w:t>
      </w:r>
    </w:p>
    <w:p>
      <w:pPr>
        <w:pStyle w:val="ListBullet"/>
        <w:spacing w:after="60"/>
      </w:pPr>
      <w:r>
        <w:t>backend/app/Models/ : modèles Eloquent et relations PostgreSQL.</w:t>
      </w:r>
    </w:p>
    <w:p>
      <w:pPr>
        <w:pStyle w:val="ListBullet"/>
        <w:spacing w:after="60"/>
      </w:pPr>
      <w:r>
        <w:t>backend/database/ : migrations, seeders et factories.</w:t>
      </w:r>
    </w:p>
    <w:p>
      <w:pPr>
        <w:pStyle w:val="ListBullet"/>
        <w:spacing w:after="60"/>
      </w:pPr>
      <w:r>
        <w:t>tests/ : PHPUnit/Pest, intégration API, sécurité et widgets Flutter.</w:t>
      </w:r>
    </w:p>
    <w:p>
      <w:pPr>
        <w:pStyle w:val="Heading1"/>
      </w:pPr>
      <w:r>
        <w:t>5.2 Packages recommandés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Besoin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Technologie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Justification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Flutter + Riverpod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Application Web et mobile réactive.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Navigation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go_router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Routes et gardes par rôle.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API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Laravel / PHP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API REST rapide à structurer.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Persistance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Eloquent + PostgreSQL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Relations, transactions et intégrité.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Sécurité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Laravel Sanctum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Jetons API pour Flutter.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Documentation</w:t>
            </w:r>
          </w:p>
        </w:tc>
        <w:tc>
          <w:tcPr>
            <w:tcW w:type="dxa" w:w="294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OpenAPI / Swagger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Contrat testable de l’API.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1EEE2"/>
            <w:tcBorders>
              <w:top w:val="single" w:sz="10" w:color="3C6E52"/>
              <w:left w:val="single" w:sz="10" w:color="3C6E52"/>
              <w:bottom w:val="single" w:sz="10" w:color="3C6E52"/>
              <w:right w:val="single" w:sz="10" w:color="3C6E52"/>
              <w:insideH w:val="single" w:sz="10" w:color="3C6E52"/>
              <w:insideV w:val="single" w:sz="10" w:color="3C6E52"/>
            </w:tcBorders>
          </w:tcPr>
          <w:p>
            <w:pPr>
              <w:spacing w:after="0"/>
            </w:pPr>
            <w:r/>
            <w:r>
              <w:rPr>
                <w:rFonts w:ascii="IBM Plex Mono" w:hAnsi="IBM Plex Mono"/>
                <w:b/>
                <w:color w:val="3C6E52"/>
                <w:sz w:val="18"/>
              </w:rPr>
              <w:t xml:space="preserve">CONTRAT D’API  </w:t>
            </w:r>
            <w:r>
              <w:rPr>
                <w:rFonts w:ascii="IBM Plex Sans" w:hAnsi="IBM Plex Sans"/>
                <w:color w:val="1B2942"/>
                <w:sz w:val="20"/>
              </w:rPr>
              <w:t>Les échanges utilisent JSON, des DTO validés et des codes HTTP cohérents. Swagger expose le contrat avant le branchement de Flutter.</w:t>
            </w:r>
          </w:p>
        </w:tc>
      </w:tr>
    </w:tbl>
    <w:p>
      <w:pPr>
        <w:spacing w:after="20"/>
      </w:pPr>
    </w:p>
    <w:p>
      <w:pPr>
        <w:pStyle w:val="Title"/>
      </w:pPr>
      <w:r>
        <w:t>6. Parcours et états métier</w:t>
      </w:r>
    </w:p>
    <w:p>
      <w:pPr>
        <w:pStyle w:val="Heading1"/>
      </w:pPr>
      <w:r>
        <w:t>6.1 Publication des notes</w:t>
      </w:r>
    </w:p>
    <w:p>
      <w:pPr>
        <w:pStyle w:val="ListNumber"/>
        <w:spacing w:after="80"/>
      </w:pPr>
      <w:r>
        <w:t>L’enseignant ouvre une affectation et crée les évaluations.</w:t>
      </w:r>
    </w:p>
    <w:p>
      <w:pPr>
        <w:pStyle w:val="ListNumber"/>
        <w:spacing w:after="80"/>
      </w:pPr>
      <w:r>
        <w:t>Il saisit ou importe les notes; les absences restent explicitement manquantes.</w:t>
      </w:r>
    </w:p>
    <w:p>
      <w:pPr>
        <w:pStyle w:val="ListNumber"/>
        <w:spacing w:after="80"/>
      </w:pPr>
      <w:r>
        <w:t>Il soumet la saisie à vérification.</w:t>
      </w:r>
    </w:p>
    <w:p>
      <w:pPr>
        <w:pStyle w:val="ListNumber"/>
        <w:spacing w:after="80"/>
      </w:pPr>
      <w:r>
        <w:t>L’agent contrôle les anomalies et renvoie si nécessaire.</w:t>
      </w:r>
    </w:p>
    <w:p>
      <w:pPr>
        <w:pStyle w:val="ListNumber"/>
        <w:spacing w:after="80"/>
      </w:pPr>
      <w:r>
        <w:t>L’enseignant confirme ou corrige.</w:t>
      </w:r>
    </w:p>
    <w:p>
      <w:pPr>
        <w:pStyle w:val="ListNumber"/>
        <w:spacing w:after="80"/>
      </w:pPr>
      <w:r>
        <w:t>L’agent calcule les résultats, génère les bulletins et publie.</w:t>
      </w:r>
    </w:p>
    <w:p>
      <w:pPr>
        <w:pStyle w:val="ListNumber"/>
        <w:spacing w:after="80"/>
      </w:pPr>
      <w:r>
        <w:t>L’étudiant consulte; une anomalie peut déclencher une requête.</w:t>
      </w:r>
    </w:p>
    <w:p>
      <w:pPr>
        <w:pStyle w:val="Heading1"/>
      </w:pPr>
      <w:r>
        <w:t>6.2 États d’une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État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Signification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Transitions autorisées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BROUILLON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Saisie modifiable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EN_VERIFICATION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EN_VERIFICATION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Soumise à contrôle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BROUILLON, VALIDEE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VALIDEE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Contrôlée et verrouillée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PUBLIEE, BROUILLON sur correction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PUBLIEE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Visible par l’étudiant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CORRECTION_DEMANDEE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CORRECTION_DEMANDEE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Requête acceptée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BROUILLON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MANQUANTE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Évaluation attendue sans valeur</w:t>
            </w:r>
          </w:p>
        </w:tc>
        <w:tc>
          <w:tcPr>
            <w:tcW w:type="dxa" w:w="340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BROUILLON</w:t>
            </w:r>
          </w:p>
        </w:tc>
      </w:tr>
    </w:tbl>
    <w:p>
      <w:pPr>
        <w:spacing w:after="20"/>
      </w:pPr>
    </w:p>
    <w:p>
      <w:pPr>
        <w:pStyle w:val="Heading1"/>
      </w:pPr>
      <w:r>
        <w:t>6.3 États d’une requête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État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Issue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SOUMISE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Étudiant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Prise en charge par enseignant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EN_TRAITEMENT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Enseignant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Acceptée ou rejetée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ACCEPTEE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Enseignant/Agent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Correction journalisée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REJETEE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Enseignant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Motif obligatoire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CLOTUREE</w:t>
            </w:r>
          </w:p>
        </w:tc>
        <w:tc>
          <w:tcPr>
            <w:tcW w:type="dxa" w:w="260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Agent</w:t>
            </w:r>
          </w:p>
        </w:tc>
        <w:tc>
          <w:tcPr>
            <w:tcW w:type="dxa" w:w="442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Décision communiquée</w:t>
            </w:r>
          </w:p>
        </w:tc>
      </w:tr>
    </w:tbl>
    <w:p>
      <w:pPr>
        <w:spacing w:after="20"/>
      </w:pPr>
    </w:p>
    <w:p>
      <w:pPr>
        <w:pStyle w:val="Title"/>
      </w:pPr>
      <w:r>
        <w:t>7. Conception des interfaces</w:t>
      </w:r>
    </w:p>
    <w:p>
      <w:pPr>
        <w:pStyle w:val="Heading1"/>
      </w:pPr>
      <w:r>
        <w:t>7.1 Système visuel GNU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Jeton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Valeur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Encre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#1B2942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Texte, navigation, en-têtes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Papier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#DEDACB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Fond général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Papier clair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#F1EEE2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Surfaces et tableaux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Rouge-encre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#8C2F2F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Action principale, correction, manquant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Or-sceau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#A9762C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Distinction rare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Validé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#3C6E52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Statut positif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 attente</w:t>
            </w:r>
          </w:p>
        </w:tc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#C4841F</w:t>
            </w:r>
          </w:p>
        </w:tc>
        <w:tc>
          <w:tcPr>
            <w:tcW w:type="dxa" w:w="4762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Statut intermédiaire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Titres : Fraunces 500.</w:t>
      </w:r>
    </w:p>
    <w:p>
      <w:pPr>
        <w:pStyle w:val="ListBullet"/>
        <w:spacing w:after="60"/>
      </w:pPr>
      <w:r>
        <w:t>Texte et interface : IBM Plex Sans.</w:t>
      </w:r>
    </w:p>
    <w:p>
      <w:pPr>
        <w:pStyle w:val="ListBullet"/>
        <w:spacing w:after="60"/>
      </w:pPr>
      <w:r>
        <w:t>Matricules, codes et notes : IBM Plex Mono.</w:t>
      </w:r>
    </w:p>
    <w:p>
      <w:pPr>
        <w:pStyle w:val="ListBullet"/>
        <w:spacing w:after="60"/>
      </w:pPr>
      <w:r>
        <w:t>Lignes fines, surfaces plates et presque aucune ombre.</w:t>
      </w:r>
    </w:p>
    <w:p>
      <w:pPr>
        <w:pStyle w:val="ListBullet"/>
        <w:spacing w:after="60"/>
      </w:pPr>
      <w:r>
        <w:t>Le rouge n’est jamais décoratif.</w:t>
      </w:r>
    </w:p>
    <w:p>
      <w:pPr>
        <w:pStyle w:val="ListBullet"/>
        <w:spacing w:after="60"/>
      </w:pPr>
      <w:r>
        <w:t>Toujours accompagner une couleur de statut par un libellé ou une icône.</w:t>
      </w:r>
    </w:p>
    <w:p>
      <w:pPr>
        <w:pStyle w:val="Heading1"/>
      </w:pPr>
      <w:r>
        <w:t>7.2 Signature de marque</w:t>
      </w:r>
    </w:p>
    <w:p>
      <w:r>
        <w:t>La marque associe cinq strates qui se resserrent — Université, Faculté, Département, Filière et Classe — au nom GNU. La strate active est rouge-encre sur fond papier et or-sceau sur fond encre.</w:t>
      </w:r>
    </w:p>
    <w:p>
      <w:pPr>
        <w:pStyle w:val="ListBullet"/>
        <w:spacing w:after="60"/>
      </w:pPr>
      <w:r>
        <w:t>Signature principale : symbole + GNU + « Gestion des notes · Système LMD ».</w:t>
      </w:r>
    </w:p>
    <w:p>
      <w:pPr>
        <w:pStyle w:val="ListBullet"/>
        <w:spacing w:after="60"/>
      </w:pPr>
      <w:r>
        <w:t>Icône d’application : symbole seul dans un carré encre à coins arrondis.</w:t>
      </w:r>
    </w:p>
    <w:p>
      <w:pPr>
        <w:pStyle w:val="ListBullet"/>
        <w:spacing w:after="60"/>
      </w:pPr>
      <w:r>
        <w:t>Zone de protection : au moins la hauteur d’une strate autour du logo.</w:t>
      </w:r>
    </w:p>
    <w:p>
      <w:pPr>
        <w:pStyle w:val="ListBullet"/>
        <w:spacing w:after="60"/>
      </w:pPr>
      <w:r>
        <w:t>Taille minimale numérique : 120 px pour la signature; 24 px pour l’icône.</w:t>
      </w:r>
    </w:p>
    <w:p>
      <w:pPr>
        <w:pStyle w:val="ListBullet"/>
        <w:spacing w:after="60"/>
      </w:pPr>
      <w:r>
        <w:t>Ne jamais étirer, incliner, recolorer ou ajouter une ombre au logo.</w:t>
      </w:r>
    </w:p>
    <w:p>
      <w:pPr>
        <w:pStyle w:val="ListBullet"/>
        <w:spacing w:after="60"/>
      </w:pPr>
      <w:r>
        <w:t>Utiliser la variante inverse uniquement sur fond encre.</w:t>
      </w:r>
    </w:p>
    <w:p>
      <w:pPr>
        <w:pStyle w:val="Heading1"/>
      </w:pPr>
      <w:r>
        <w:t>7.3 Langage d’interface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Règle de marque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Bouton primaire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Rouge-encre, texte papier clair, rayon 3 px.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Bouton secondaire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Fond transparent, bordure et texte encre.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Champ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Fond papier clair, bordure fine; focus rouge-encre.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Tableau de notes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Lignes fines; chiffres et matricules en IBM Plex Mono.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Statut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Point coloré + libellé; jamais la couleur seule.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Navigation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Fil Université › Faculté › Filière › Niveau › Classe.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Erreur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Message explicatif et action corrective; rouge réservé à l’anomalie.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1EEE2"/>
            <w:tcBorders>
              <w:top w:val="single" w:sz="10" w:color="A9762C"/>
              <w:left w:val="single" w:sz="10" w:color="A9762C"/>
              <w:bottom w:val="single" w:sz="10" w:color="A9762C"/>
              <w:right w:val="single" w:sz="10" w:color="A9762C"/>
              <w:insideH w:val="single" w:sz="10" w:color="A9762C"/>
              <w:insideV w:val="single" w:sz="10" w:color="A9762C"/>
            </w:tcBorders>
          </w:tcPr>
          <w:p>
            <w:pPr>
              <w:spacing w:after="0"/>
            </w:pPr>
            <w:r/>
            <w:r>
              <w:rPr>
                <w:rFonts w:ascii="IBM Plex Mono" w:hAnsi="IBM Plex Mono"/>
                <w:b/>
                <w:color w:val="A9762C"/>
                <w:sz w:val="18"/>
              </w:rPr>
              <w:t xml:space="preserve">PERSONNALITÉ DE MARQUE  </w:t>
            </w:r>
            <w:r>
              <w:rPr>
                <w:rFonts w:ascii="IBM Plex Sans" w:hAnsi="IBM Plex Sans"/>
                <w:color w:val="1B2942"/>
                <w:sz w:val="20"/>
              </w:rPr>
              <w:t>Institutionnelle, rigoureuse et rassurante. Les textes restent directs : « Publier les résultats », « Note manquante », « Requête envoyée ».</w:t>
            </w:r>
          </w:p>
        </w:tc>
      </w:tr>
    </w:tbl>
    <w:p>
      <w:pPr>
        <w:spacing w:after="20"/>
      </w:pPr>
    </w:p>
    <w:p>
      <w:pPr>
        <w:pStyle w:val="Heading1"/>
      </w:pPr>
      <w:r>
        <w:t>7.4 Écrans du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Profil</w:t>
            </w:r>
          </w:p>
        </w:tc>
        <w:tc>
          <w:tcPr>
            <w:tcW w:type="dxa" w:w="737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Écrans essentiels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Commun</w:t>
            </w:r>
          </w:p>
        </w:tc>
        <w:tc>
          <w:tcPr>
            <w:tcW w:type="dxa" w:w="737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Connexion, sélection du profil de démonstration, paramètres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Agent</w:t>
            </w:r>
          </w:p>
        </w:tc>
        <w:tc>
          <w:tcPr>
            <w:tcW w:type="dxa" w:w="737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Tableau de bord, structure, classes, inscriptions, publication, audit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Enseignant</w:t>
            </w:r>
          </w:p>
        </w:tc>
        <w:tc>
          <w:tcPr>
            <w:tcW w:type="dxa" w:w="737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Affectations, étudiants, évaluations, saisie, vérification, requêtes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Étudiant</w:t>
            </w:r>
          </w:p>
        </w:tc>
        <w:tc>
          <w:tcPr>
            <w:tcW w:type="dxa" w:w="737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Accueil, matières, notes, bulletin, nouvelle requête, suivi</w:t>
            </w:r>
          </w:p>
        </w:tc>
      </w:tr>
    </w:tbl>
    <w:p>
      <w:pPr>
        <w:spacing w:after="20"/>
      </w:pPr>
    </w:p>
    <w:p>
      <w:pPr>
        <w:pStyle w:val="Heading1"/>
      </w:pPr>
      <w:r>
        <w:t>7.5 Navigation</w:t>
      </w:r>
    </w:p>
    <w:p>
      <w:pPr>
        <w:pStyle w:val="ListBullet"/>
        <w:spacing w:after="60"/>
      </w:pPr>
      <w:r>
        <w:t>Le fil hiérarchique affiche Université › Faculté › Filière › Niveau › Classe.</w:t>
      </w:r>
    </w:p>
    <w:p>
      <w:pPr>
        <w:pStyle w:val="ListBullet"/>
        <w:spacing w:after="60"/>
      </w:pPr>
      <w:r>
        <w:t>Les routes sont protégées selon le rôle actif.</w:t>
      </w:r>
    </w:p>
    <w:p>
      <w:pPr>
        <w:pStyle w:val="ListBullet"/>
        <w:spacing w:after="60"/>
      </w:pPr>
      <w:r>
        <w:t>Sur mobile, utiliser une NavigationBar de trois à cinq destinations.</w:t>
      </w:r>
    </w:p>
    <w:p>
      <w:pPr>
        <w:pStyle w:val="ListBullet"/>
        <w:spacing w:after="60"/>
      </w:pPr>
      <w:r>
        <w:t>Sur écran large, utiliser un rail latéral sobre et persistant.</w:t>
      </w:r>
    </w:p>
    <w:p>
      <w:r>
        <w:br w:type="page"/>
      </w:r>
    </w:p>
    <w:p>
      <w:pPr>
        <w:pStyle w:val="Title"/>
      </w:pPr>
      <w:r>
        <w:t>8. Sécurité, qualité et tests</w:t>
      </w:r>
    </w:p>
    <w:p>
      <w:pPr>
        <w:pStyle w:val="Heading1"/>
      </w:pPr>
      <w:r>
        <w:t>8.1 Sécurité de l’application</w:t>
      </w:r>
    </w:p>
    <w:p>
      <w:pPr>
        <w:pStyle w:val="ListBullet"/>
        <w:spacing w:after="60"/>
      </w:pPr>
      <w:r>
        <w:t>Hacher les mots de passe avec Laravel Hash; ne jamais les exposer dans une ressource API.</w:t>
      </w:r>
    </w:p>
    <w:p>
      <w:pPr>
        <w:pStyle w:val="ListBullet"/>
        <w:spacing w:after="60"/>
      </w:pPr>
      <w:r>
        <w:t>Valider le jeton Sanctum et les rôles avec middleware et Policies, pas seulement dans Flutter.</w:t>
      </w:r>
    </w:p>
    <w:p>
      <w:pPr>
        <w:pStyle w:val="ListBullet"/>
        <w:spacing w:after="60"/>
      </w:pPr>
      <w:r>
        <w:t>Journaliser création, modification, validation, publication et correction.</w:t>
      </w:r>
    </w:p>
    <w:p>
      <w:pPr>
        <w:pStyle w:val="ListBullet"/>
        <w:spacing w:after="60"/>
      </w:pPr>
      <w:r>
        <w:t>Limiter un étudiant à ses résultats et un enseignant à ses affectations.</w:t>
      </w:r>
    </w:p>
    <w:p>
      <w:pPr>
        <w:pStyle w:val="ListBullet"/>
        <w:spacing w:after="60"/>
      </w:pPr>
      <w:r>
        <w:t>Sauvegarder PostgreSQL et versionner le schéma avec les migrations Laravel.</w:t>
      </w:r>
    </w:p>
    <w:p>
      <w:pPr>
        <w:pStyle w:val="ListBullet"/>
        <w:spacing w:after="60"/>
      </w:pPr>
      <w:r>
        <w:t>Utiliser DB::transaction pour validation, publication et correction.</w:t>
      </w:r>
    </w:p>
    <w:p>
      <w:pPr>
        <w:pStyle w:val="Heading1"/>
      </w:pPr>
      <w:r>
        <w:t>8.2 Tests prioritaires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Scénario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Résultat attendu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T-01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CC 14, TP 15, SN 16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Finale = 15,30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T-02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CC 14, SN 16, sans TP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Finale = 15,40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T-03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Note = 21 ou -1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Validation refusée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T-04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SN manquante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Statut MANQUANTE; aucune publication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T-05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Étudiant consulte un autre matricule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Accès refusé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T-06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Correction après publication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Requête et trace d’audit obligatoires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T-07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Deux notes pour même évaluation/étudiant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Contrainte d’unicité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T-08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Bulletin S1 puis annuel</w:t>
            </w:r>
          </w:p>
        </w:tc>
        <w:tc>
          <w:tcPr>
            <w:tcW w:type="dxa" w:w="362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Périodes distinctes et cohérentes</w:t>
            </w:r>
          </w:p>
        </w:tc>
      </w:tr>
    </w:tbl>
    <w:p>
      <w:pPr>
        <w:spacing w:after="20"/>
      </w:pPr>
    </w:p>
    <w:p>
      <w:pPr>
        <w:pStyle w:val="Title"/>
      </w:pPr>
      <w:r>
        <w:t>9. Backlog et plan de réalisation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Objectif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Livrables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Durée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0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Initialisation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Dépôt, Docker, PostgreSQL, Laravel, Flutter, thème GNU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3–5 j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1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Fondations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Sanctum, rôles, structure, classes, inscriptions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 sem.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2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Évaluations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Affectations, évaluations, saisie et contrôles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 sem.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3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Publication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Validation, calcul, bulletins et export PDF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 sem.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4</w:t>
            </w:r>
          </w:p>
        </w:tc>
        <w:tc>
          <w:tcPr>
            <w:tcW w:type="dxa" w:w="232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Réclamations</w:t>
            </w:r>
          </w:p>
        </w:tc>
        <w:tc>
          <w:tcPr>
            <w:tcW w:type="dxa" w:w="4535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Consultation étudiant, requêtes, audit et stabilisation</w:t>
            </w:r>
          </w:p>
        </w:tc>
        <w:tc>
          <w:tcPr>
            <w:tcW w:type="dxa" w:w="130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 sem.</w:t>
            </w:r>
          </w:p>
        </w:tc>
      </w:tr>
    </w:tbl>
    <w:p>
      <w:pPr>
        <w:spacing w:after="20"/>
      </w:pPr>
    </w:p>
    <w:p>
      <w:pPr>
        <w:pStyle w:val="Heading1"/>
      </w:pPr>
      <w:r>
        <w:t>9.1 Première itération concrète</w:t>
      </w:r>
    </w:p>
    <w:p>
      <w:pPr>
        <w:pStyle w:val="ListNumber"/>
        <w:spacing w:after="80"/>
      </w:pPr>
      <w:r>
        <w:t>Créer le dépôt avec `backend/`, `frontend/` et la configuration Docker.</w:t>
      </w:r>
    </w:p>
    <w:p>
      <w:pPr>
        <w:pStyle w:val="ListNumber"/>
        <w:spacing w:after="80"/>
      </w:pPr>
      <w:r>
        <w:t>Lancer PostgreSQL avec Docker Compose et définir le fichier `.env` Laravel.</w:t>
      </w:r>
    </w:p>
    <w:p>
      <w:pPr>
        <w:pStyle w:val="ListNumber"/>
        <w:spacing w:after="80"/>
      </w:pPr>
      <w:r>
        <w:t>Créer Laravel et configurer le pilote `pgsql`.</w:t>
      </w:r>
    </w:p>
    <w:p>
      <w:pPr>
        <w:pStyle w:val="ListNumber"/>
        <w:spacing w:after="80"/>
      </w:pPr>
      <w:r>
        <w:t>Créer les migrations, modèles Eloquent, seeders et factories.</w:t>
      </w:r>
    </w:p>
    <w:p>
      <w:pPr>
        <w:pStyle w:val="ListNumber"/>
        <w:spacing w:after="80"/>
      </w:pPr>
      <w:r>
        <w:t>Créer Form Requests, services, contrôleurs et routes API du Sprint 1.</w:t>
      </w:r>
    </w:p>
    <w:p>
      <w:pPr>
        <w:pStyle w:val="ListNumber"/>
        <w:spacing w:after="80"/>
      </w:pPr>
      <w:r>
        <w:t>Installer Sanctum, définir les rôles/Policies et documenter avec Swagger.</w:t>
      </w:r>
    </w:p>
    <w:p>
      <w:pPr>
        <w:pStyle w:val="ListNumber"/>
        <w:spacing w:after="80"/>
      </w:pPr>
      <w:r>
        <w:t>Créer Flutter, appliquer ThemeData GNU et connecter le client HTTP.</w:t>
      </w:r>
    </w:p>
    <w:p>
      <w:pPr>
        <w:pStyle w:val="Title"/>
      </w:pPr>
      <w:r>
        <w:t>10. Critères de validation</w:t>
      </w:r>
    </w:p>
    <w:p>
      <w:pPr>
        <w:pStyle w:val="ListBullet"/>
        <w:spacing w:after="60"/>
      </w:pPr>
      <w:r>
        <w:t>Un agent crée une année, une classe, une matière et inscrit un étudiant.</w:t>
      </w:r>
    </w:p>
    <w:p>
      <w:pPr>
        <w:pStyle w:val="ListBullet"/>
        <w:spacing w:after="60"/>
      </w:pPr>
      <w:r>
        <w:t>Un enseignant affecté saisit CC/TP/SN pour cette classe.</w:t>
      </w:r>
    </w:p>
    <w:p>
      <w:pPr>
        <w:pStyle w:val="ListBullet"/>
        <w:spacing w:after="60"/>
      </w:pPr>
      <w:r>
        <w:t>Le système refuse toute valeur hors de [0,20].</w:t>
      </w:r>
    </w:p>
    <w:p>
      <w:pPr>
        <w:pStyle w:val="ListBullet"/>
        <w:spacing w:after="60"/>
      </w:pPr>
      <w:r>
        <w:t>Le calcul applique automatiquement la pondération liée à `avecTP`.</w:t>
      </w:r>
    </w:p>
    <w:p>
      <w:pPr>
        <w:pStyle w:val="ListBullet"/>
        <w:spacing w:after="60"/>
      </w:pPr>
      <w:r>
        <w:t>Une note manquante bloque la publication concernée et apparaît en rouge-encre avec le texte MANQUANTE.</w:t>
      </w:r>
    </w:p>
    <w:p>
      <w:pPr>
        <w:pStyle w:val="ListBullet"/>
        <w:spacing w:after="60"/>
      </w:pPr>
      <w:r>
        <w:t>Après validation, l’agent publie un bulletin S1 consultable par l’étudiant.</w:t>
      </w:r>
    </w:p>
    <w:p>
      <w:pPr>
        <w:pStyle w:val="ListBullet"/>
        <w:spacing w:after="60"/>
      </w:pPr>
      <w:r>
        <w:t>L’étudiant soumet une requête; l’enseignant la traite et la correction est auditée.</w:t>
      </w:r>
    </w:p>
    <w:p>
      <w:pPr>
        <w:pStyle w:val="ListBullet"/>
        <w:spacing w:after="60"/>
      </w:pPr>
      <w:r>
        <w:t>Le rendu respecte les couleurs, typographies et lignes fines de GNU.</w:t>
      </w:r>
    </w:p>
    <w:p>
      <w:pPr>
        <w:pStyle w:val="ListBullet"/>
        <w:spacing w:after="60"/>
      </w:pPr>
      <w:r>
        <w:t>Les tests critiques passent sur Android et Web.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1EEE2"/>
            <w:tcBorders>
              <w:top w:val="single" w:sz="10" w:color="3C6E52"/>
              <w:left w:val="single" w:sz="10" w:color="3C6E52"/>
              <w:bottom w:val="single" w:sz="10" w:color="3C6E52"/>
              <w:right w:val="single" w:sz="10" w:color="3C6E52"/>
              <w:insideH w:val="single" w:sz="10" w:color="3C6E52"/>
              <w:insideV w:val="single" w:sz="10" w:color="3C6E52"/>
            </w:tcBorders>
          </w:tcPr>
          <w:p>
            <w:pPr>
              <w:spacing w:after="0"/>
            </w:pPr>
            <w:r/>
            <w:r>
              <w:rPr>
                <w:rFonts w:ascii="IBM Plex Mono" w:hAnsi="IBM Plex Mono"/>
                <w:b/>
                <w:color w:val="3C6E52"/>
                <w:sz w:val="18"/>
              </w:rPr>
              <w:t xml:space="preserve">CONCEPTION TERMINÉE  </w:t>
            </w:r>
            <w:r>
              <w:rPr>
                <w:rFonts w:ascii="IBM Plex Sans" w:hAnsi="IBM Plex Sans"/>
                <w:color w:val="1B2942"/>
                <w:sz w:val="20"/>
              </w:rPr>
              <w:t>Le développement peut commencer par le Sprint 0, puis le Sprint 1. Toute modification métier future devra être inscrite dans le journal des décisions.</w:t>
            </w:r>
          </w:p>
        </w:tc>
      </w:tr>
    </w:tbl>
    <w:p>
      <w:pPr>
        <w:spacing w:after="20"/>
      </w:pPr>
    </w:p>
    <w:p>
      <w:pPr>
        <w:pStyle w:val="Title"/>
      </w:pPr>
      <w:r>
        <w:t>Annexe A — Matrice de traçabilité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Besoin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Cas d’utilisation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Entités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Sprint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Structurer l’université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Gérer structure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Université à Classe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1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Inscrire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Valider inscription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Étudiant, InscriptionClasse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1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Enseigner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Affecter matière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Enseignant, Affectation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Évaluer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Saisir notes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Évaluation, Note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2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Publier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Calculer et publier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Note, Bulletin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3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Réclamer</w:t>
            </w:r>
          </w:p>
        </w:tc>
        <w:tc>
          <w:tcPr>
            <w:tcW w:type="dxa" w:w="2494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Soumettre/traiter requête</w:t>
            </w:r>
          </w:p>
        </w:tc>
        <w:tc>
          <w:tcPr>
            <w:tcW w:type="dxa" w:w="30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Requête, JournalAudit</w:t>
            </w:r>
          </w:p>
        </w:tc>
        <w:tc>
          <w:tcPr>
            <w:tcW w:type="dxa" w:w="1361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4</w:t>
            </w:r>
          </w:p>
        </w:tc>
      </w:tr>
    </w:tbl>
    <w:p>
      <w:pPr>
        <w:spacing w:after="20"/>
      </w:pPr>
    </w:p>
    <w:p>
      <w:pPr>
        <w:pStyle w:val="Title"/>
      </w:pPr>
      <w:r>
        <w:t>Annexe B — Glossaire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Terme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1B2942"/>
          </w:tcPr>
          <w:p>
            <w:pPr>
              <w:spacing w:after="30"/>
            </w:pPr>
            <w:r/>
            <w:r>
              <w:rPr>
                <w:rFonts w:ascii="IBM Plex Sans" w:hAnsi="IBM Plex Sans"/>
                <w:b/>
                <w:color w:val="FFFFFF"/>
                <w:sz w:val="17"/>
              </w:rPr>
              <w:t>Définition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UE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Unité d’enseignement.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EC / Matière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Élément constitutif d’une UE.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MGP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Moyenne générale pondérée.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CC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Contrôle continu.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TP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Travaux pratiques.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SN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Session normale.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Classe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Groupe d’étudiants d’un même niveau, dans une filière et une année académique données.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Salle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FFFFF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Local physique; hors du MVP.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Mono" w:hAnsi="IBM Plex Mono"/>
                <w:b w:val="0"/>
                <w:color w:val="1B2942"/>
                <w:sz w:val="17"/>
              </w:rPr>
              <w:t>MVP</w:t>
            </w:r>
          </w:p>
        </w:tc>
        <w:tc>
          <w:tcPr>
            <w:tcW w:type="dxa" w:w="7030"/>
            <w:vAlign w:val="center"/>
            <w:tcBorders>
              <w:top w:val="single" w:sz="4" w:color="B8B3A7"/>
              <w:left w:val="single" w:sz="4" w:color="B8B3A7"/>
              <w:bottom w:val="single" w:sz="4" w:color="B8B3A7"/>
              <w:right w:val="single" w:sz="4" w:color="B8B3A7"/>
              <w:insideH w:val="single" w:sz="4" w:color="B8B3A7"/>
              <w:insideV w:val="single" w:sz="4" w:color="B8B3A7"/>
            </w:tcBorders>
            <w:shd w:fill="F1EEE2"/>
          </w:tcPr>
          <w:p>
            <w:pPr>
              <w:spacing w:after="30"/>
            </w:pPr>
            <w:r/>
            <w:r>
              <w:rPr>
                <w:rFonts w:ascii="IBM Plex Sans" w:hAnsi="IBM Plex Sans"/>
                <w:b w:val="0"/>
                <w:color w:val="1B2942"/>
                <w:sz w:val="17"/>
              </w:rPr>
              <w:t>Version minimale démontrable du produit.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BM Plex Mono" w:hAnsi="IBM Plex Mono"/>
        <w:color w:val="5B5F66"/>
        <w:sz w:val="16"/>
      </w:rPr>
      <w:t>Stage académique ARITED  ·  Version 1.0  ·  07 septembre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BM Plex Mono" w:hAnsi="IBM Plex Mono"/>
        <w:color w:val="5B5F66"/>
        <w:sz w:val="16"/>
      </w:rPr>
      <w:t>GNU  ·  GESTION DES NOTES  ·  CONCEPTION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BM Plex Sans" w:hAnsi="IBM Plex Sans"/>
      <w:color w:val="1B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1B294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1B29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1B29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Fraunces" w:hAnsi="Fraunces"/>
      <w:b w:val="0"/>
      <w:color w:val="1B294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BM Plex Sans" w:hAnsi="IBM Plex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BM Plex Sans" w:hAnsi="IBM Plex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Data">
    <w:name w:val="CodeData"/>
    <w:pPr>
      <w:spacing w:after="60"/>
    </w:pPr>
    <w:rPr>
      <w:rFonts w:ascii="IBM Plex Mono" w:hAnsi="IBM Plex Mono"/>
      <w:color w:val="1B294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GNU — Dossier de conception finale</dc:title>
  <dc:subject>Gestion des Notes d'une Université — Système LMD</dc:subject>
  <dc:creator>Ngue Mbong André Fitzgerald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