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595959"/>
          <w:sz w:val="22"/>
          <w:szCs w:val="22"/>
        </w:rPr>
        <w:t xml:space="preserve">RÉPUBLIQUE DU CAMEROUN</w:t>
      </w:r>
    </w:p>
    <w:p>
      <w:pPr>
        <w:spacing w:after="800"/>
        <w:jc w:val="center"/>
      </w:pPr>
      <w:r>
        <w:rPr>
          <w:i/>
          <w:iCs/>
          <w:color w:val="595959"/>
          <w:sz w:val="20"/>
          <w:szCs w:val="20"/>
        </w:rPr>
        <w:t xml:space="preserve">Stage académique ARITED</w:t>
      </w:r>
    </w:p>
    <w:p>
      <w:pPr>
        <w:spacing w:after="200"/>
        <w:jc w:val="center"/>
      </w:pPr>
      <w:r>
        <w:br/>
        <w:br/>
        <w:br/>
        <w:br/>
        <w:br/>
        <w:br/>
        <w:t xml:space="preserve"/>
      </w:r>
    </w:p>
    <w:p>
      <w:pPr>
        <w:spacing w:after="100"/>
        <w:jc w:val="center"/>
      </w:pPr>
      <w:r>
        <w:rPr>
          <w:b/>
          <w:bCs/>
          <w:color w:val="1F3864"/>
          <w:sz w:val="44"/>
          <w:szCs w:val="44"/>
        </w:rPr>
        <w:t xml:space="preserve">RAPPORT D'APPRENTISSAGE</w:t>
      </w:r>
    </w:p>
    <w:p>
      <w:pPr>
        <w:spacing w:after="500"/>
        <w:jc w:val="center"/>
      </w:pPr>
      <w:r>
        <w:rPr>
          <w:b/>
          <w:bCs/>
          <w:color w:val="2E74B5"/>
          <w:sz w:val="32"/>
          <w:szCs w:val="32"/>
        </w:rPr>
        <w:t xml:space="preserve">Le langage de modélisation UML</w:t>
      </w:r>
    </w:p>
    <w:p>
      <w:pPr>
        <w:spacing w:after="700"/>
        <w:jc w:val="center"/>
      </w:pPr>
      <w:r>
        <w:rPr>
          <w:i/>
          <w:iCs/>
          <w:color w:val="595959"/>
          <w:sz w:val="22"/>
          <w:szCs w:val="22"/>
        </w:rPr>
        <w:t xml:space="preserve">Application au projet « Gestion des Notes d'une Université — Système LMD »</w:t>
      </w:r>
    </w:p>
    <w:p>
      <w:pPr>
        <w:spacing w:after="900"/>
      </w:pPr>
      <w:r>
        <w:br/>
        <w:br/>
        <w:br/>
        <w:b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Mar>
              <w:top w:type="dxa" w:w="80"/>
              <w:left w:type="dxa" w:w="120"/>
              <w:bottom w:type="dxa" w:w="80"/>
              <w:right w:type="dxa" w:w="120"/>
            </w:tcMar>
          </w:tcPr>
          <w:p>
            <w:r>
              <w:rPr>
                <w:b/>
                <w:bCs/>
                <w:color w:val="000000"/>
                <w:sz w:val="20"/>
                <w:szCs w:val="20"/>
              </w:rPr>
              <w:t xml:space="preserve">Présenté par :</w:t>
            </w:r>
          </w:p>
        </w:tc>
        <w:tc>
          <w:tcPr>
            <w:tcW w:type="dxa" w:w="6350"/>
            <w:tcMar>
              <w:top w:type="dxa" w:w="80"/>
              <w:left w:type="dxa" w:w="120"/>
              <w:bottom w:type="dxa" w:w="80"/>
              <w:right w:type="dxa" w:w="120"/>
            </w:tcMar>
          </w:tcPr>
          <w:p>
            <w:r>
              <w:rPr>
                <w:b w:val="false"/>
                <w:bCs w:val="false"/>
                <w:color w:val="000000"/>
                <w:sz w:val="20"/>
                <w:szCs w:val="20"/>
              </w:rPr>
              <w:t xml:space="preserve">Ngue Mbong André Fitzgerald</w:t>
            </w:r>
          </w:p>
        </w:tc>
      </w:tr>
      <w:tr>
        <w:tc>
          <w:tcPr>
            <w:tcW w:type="dxa" w:w="3000"/>
            <w:tcMar>
              <w:top w:type="dxa" w:w="80"/>
              <w:left w:type="dxa" w:w="120"/>
              <w:bottom w:type="dxa" w:w="80"/>
              <w:right w:type="dxa" w:w="120"/>
            </w:tcMar>
          </w:tcPr>
          <w:p>
            <w:r>
              <w:rPr>
                <w:b/>
                <w:bCs/>
                <w:color w:val="000000"/>
                <w:sz w:val="20"/>
                <w:szCs w:val="20"/>
              </w:rPr>
              <w:t xml:space="preserve">Encadré par :</w:t>
            </w:r>
          </w:p>
        </w:tc>
        <w:tc>
          <w:tcPr>
            <w:tcW w:type="dxa" w:w="6350"/>
            <w:tcMar>
              <w:top w:type="dxa" w:w="80"/>
              <w:left w:type="dxa" w:w="120"/>
              <w:bottom w:type="dxa" w:w="80"/>
              <w:right w:type="dxa" w:w="120"/>
            </w:tcMar>
          </w:tcPr>
          <w:p>
            <w:r>
              <w:rPr>
                <w:b w:val="false"/>
                <w:bCs w:val="false"/>
                <w:color w:val="000000"/>
                <w:sz w:val="20"/>
                <w:szCs w:val="20"/>
              </w:rPr>
              <w:t xml:space="preserve">Dr Thomas Messi Nguele</w:t>
            </w:r>
          </w:p>
        </w:tc>
      </w:tr>
      <w:tr>
        <w:tc>
          <w:tcPr>
            <w:tcW w:type="dxa" w:w="3000"/>
            <w:tcMar>
              <w:top w:type="dxa" w:w="80"/>
              <w:left w:type="dxa" w:w="120"/>
              <w:bottom w:type="dxa" w:w="80"/>
              <w:right w:type="dxa" w:w="120"/>
            </w:tcMar>
          </w:tcPr>
          <w:p>
            <w:r>
              <w:rPr>
                <w:b/>
                <w:bCs/>
                <w:color w:val="000000"/>
                <w:sz w:val="20"/>
                <w:szCs w:val="20"/>
              </w:rPr>
              <w:t xml:space="preserve">Projet :</w:t>
            </w:r>
          </w:p>
        </w:tc>
        <w:tc>
          <w:tcPr>
            <w:tcW w:type="dxa" w:w="6350"/>
            <w:tcMar>
              <w:top w:type="dxa" w:w="80"/>
              <w:left w:type="dxa" w:w="120"/>
              <w:bottom w:type="dxa" w:w="80"/>
              <w:right w:type="dxa" w:w="120"/>
            </w:tcMar>
          </w:tcPr>
          <w:p>
            <w:r>
              <w:rPr>
                <w:b w:val="false"/>
                <w:bCs w:val="false"/>
                <w:color w:val="000000"/>
                <w:sz w:val="20"/>
                <w:szCs w:val="20"/>
              </w:rPr>
              <w:t xml:space="preserve">Gestion des Notes d'une Université — Système LMD</w:t>
            </w:r>
          </w:p>
        </w:tc>
      </w:tr>
      <w:tr>
        <w:tc>
          <w:tcPr>
            <w:tcW w:type="dxa" w:w="3000"/>
            <w:tcMar>
              <w:top w:type="dxa" w:w="80"/>
              <w:left w:type="dxa" w:w="120"/>
              <w:bottom w:type="dxa" w:w="80"/>
              <w:right w:type="dxa" w:w="120"/>
            </w:tcMar>
          </w:tcPr>
          <w:p>
            <w:r>
              <w:rPr>
                <w:b/>
                <w:bCs/>
                <w:color w:val="000000"/>
                <w:sz w:val="20"/>
                <w:szCs w:val="20"/>
              </w:rPr>
              <w:t xml:space="preserve">Date :</w:t>
            </w:r>
          </w:p>
        </w:tc>
        <w:tc>
          <w:tcPr>
            <w:tcW w:type="dxa" w:w="6350"/>
            <w:tcMar>
              <w:top w:type="dxa" w:w="80"/>
              <w:left w:type="dxa" w:w="120"/>
              <w:bottom w:type="dxa" w:w="80"/>
              <w:right w:type="dxa" w:w="120"/>
            </w:tcMar>
          </w:tcPr>
          <w:p>
            <w:r>
              <w:rPr>
                <w:b w:val="false"/>
                <w:bCs w:val="false"/>
                <w:color w:val="000000"/>
                <w:sz w:val="20"/>
                <w:szCs w:val="20"/>
              </w:rPr>
              <w:t xml:space="preserve">Lundi 31 août 2026</w:t>
            </w:r>
          </w:p>
        </w:tc>
      </w:tr>
    </w:tbl>
    <w:p>
      <w:pPr>
        <w:sectPr>
          <w:pgSz w:w="11906" w:h="16838" w:orient="portrait"/>
          <w:pgMar w:top="1000" w:right="1200" w:bottom="1000" w:left="120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Introduction</w:t>
      </w:r>
    </w:p>
    <w:p>
      <w:pPr>
        <w:spacing w:after="160" w:line="276"/>
        <w:jc w:val="both"/>
      </w:pPr>
      <w:r>
        <w:rPr>
          <w:sz w:val="22"/>
          <w:szCs w:val="22"/>
        </w:rPr>
        <w:t xml:space="preserve">Dans le cadre du stage académique et du projet « Gestion des Notes d'une Université », il m'a été demandé de me familiariser avec le langage UML (Unified Modeling Language), utilisé pour la modélisation des besoins et de la conception d'une application. Ce rapport présente une synthèse structurée de ce que j'ai appris à partir du support de cours « Conception d'une BD — Introduction à UML », ainsi que les liens que j'établis entre cette théorie et le projet qui m'a été confié.</w:t>
      </w:r>
    </w:p>
    <w:p>
      <w:pPr>
        <w:spacing w:after="160" w:line="276"/>
        <w:jc w:val="both"/>
      </w:pPr>
      <w:r>
        <w:rPr>
          <w:sz w:val="22"/>
          <w:szCs w:val="22"/>
        </w:rPr>
        <w:t xml:space="preserve">L'objectif de ce document n'est pas de reproduire le cours mais d'en dégager les notions essentielles, de montrer que je les ai comprises, et d'illustrer leur usage concret sur mon propre cas d'étude (gestion des notes selon le système LMD).</w:t>
      </w:r>
    </w:p>
    <w:p>
      <w:pPr>
        <w:pStyle w:val="Heading1"/>
        <w:pBdr>
          <w:bottom w:val="single" w:color="1F3864" w:sz="6" w:space="4"/>
        </w:pBdr>
        <w:spacing w:after="200" w:before="400"/>
      </w:pPr>
      <w:r>
        <w:rPr>
          <w:b/>
          <w:bCs/>
          <w:color w:val="1F3864"/>
          <w:sz w:val="30"/>
          <w:szCs w:val="30"/>
        </w:rPr>
        <w:t xml:space="preserve">2. Pourquoi UML ? Contexte de la modélisation</w:t>
      </w:r>
    </w:p>
    <w:p>
      <w:pPr>
        <w:spacing w:after="160" w:line="276"/>
        <w:jc w:val="both"/>
      </w:pPr>
      <w:r>
        <w:rPr>
          <w:sz w:val="22"/>
          <w:szCs w:val="22"/>
        </w:rPr>
        <w:t xml:space="preserve">Face à un problème d'informatisation, deux grandes approches de modélisation existent : la méthode Merise et le langage UML.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5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Critère</w:t>
            </w:r>
          </w:p>
        </w:tc>
        <w:tc>
          <w:tcPr>
            <w:tcW w:type="dxa" w:w="3500"/>
            <w:shd w:fill="1F3864" w:val="clear"/>
            <w:tcMar>
              <w:top w:type="dxa" w:w="80"/>
              <w:left w:type="dxa" w:w="120"/>
              <w:bottom w:type="dxa" w:w="80"/>
              <w:right w:type="dxa" w:w="120"/>
            </w:tcMar>
          </w:tcPr>
          <w:p>
            <w:r>
              <w:rPr>
                <w:b/>
                <w:bCs/>
                <w:color w:val="FFFFFF"/>
                <w:sz w:val="20"/>
                <w:szCs w:val="20"/>
              </w:rPr>
              <w:t xml:space="preserve">Méthode Merise</w:t>
            </w:r>
          </w:p>
        </w:tc>
        <w:tc>
          <w:tcPr>
            <w:tcW w:type="dxa" w:w="3650"/>
            <w:shd w:fill="1F3864" w:val="clear"/>
            <w:tcMar>
              <w:top w:type="dxa" w:w="80"/>
              <w:left w:type="dxa" w:w="120"/>
              <w:bottom w:type="dxa" w:w="80"/>
              <w:right w:type="dxa" w:w="120"/>
            </w:tcMar>
          </w:tcPr>
          <w:p>
            <w:r>
              <w:rPr>
                <w:b/>
                <w:bCs/>
                <w:color w:val="FFFFFF"/>
                <w:sz w:val="20"/>
                <w:szCs w:val="20"/>
              </w:rPr>
              <w:t xml:space="preserve">Langage UML</w:t>
            </w:r>
          </w:p>
        </w:tc>
      </w:tr>
      <w:tr>
        <w:tc>
          <w:tcPr>
            <w:tcW w:type="dxa" w:w="2200"/>
            <w:tcMar>
              <w:top w:type="dxa" w:w="80"/>
              <w:left w:type="dxa" w:w="120"/>
              <w:bottom w:type="dxa" w:w="80"/>
              <w:right w:type="dxa" w:w="120"/>
            </w:tcMar>
          </w:tcPr>
          <w:p>
            <w:r>
              <w:rPr>
                <w:b w:val="false"/>
                <w:bCs w:val="false"/>
                <w:color w:val="000000"/>
                <w:sz w:val="20"/>
                <w:szCs w:val="20"/>
              </w:rPr>
              <w:t xml:space="preserve">Naissance</w:t>
            </w:r>
          </w:p>
        </w:tc>
        <w:tc>
          <w:tcPr>
            <w:tcW w:type="dxa" w:w="3500"/>
            <w:tcMar>
              <w:top w:type="dxa" w:w="80"/>
              <w:left w:type="dxa" w:w="120"/>
              <w:bottom w:type="dxa" w:w="80"/>
              <w:right w:type="dxa" w:w="120"/>
            </w:tcMar>
          </w:tcPr>
          <w:p>
            <w:r>
              <w:rPr>
                <w:b w:val="false"/>
                <w:bCs w:val="false"/>
                <w:color w:val="000000"/>
                <w:sz w:val="20"/>
                <w:szCs w:val="20"/>
              </w:rPr>
              <w:t xml:space="preserve">Environ 1970</w:t>
            </w:r>
          </w:p>
        </w:tc>
        <w:tc>
          <w:tcPr>
            <w:tcW w:type="dxa" w:w="3650"/>
            <w:tcMar>
              <w:top w:type="dxa" w:w="80"/>
              <w:left w:type="dxa" w:w="120"/>
              <w:bottom w:type="dxa" w:w="80"/>
              <w:right w:type="dxa" w:w="120"/>
            </w:tcMar>
          </w:tcPr>
          <w:p>
            <w:r>
              <w:rPr>
                <w:b w:val="false"/>
                <w:bCs w:val="false"/>
                <w:color w:val="000000"/>
                <w:sz w:val="20"/>
                <w:szCs w:val="20"/>
              </w:rPr>
              <w:t xml:space="preserve">1997 (UML), 2006 (UML 2, 13 diagrammes)</w:t>
            </w:r>
          </w:p>
        </w:tc>
      </w:tr>
      <w:tr>
        <w:tc>
          <w:tcPr>
            <w:tcW w:type="dxa" w:w="2200"/>
            <w:tcMar>
              <w:top w:type="dxa" w:w="80"/>
              <w:left w:type="dxa" w:w="120"/>
              <w:bottom w:type="dxa" w:w="80"/>
              <w:right w:type="dxa" w:w="120"/>
            </w:tcMar>
          </w:tcPr>
          <w:p>
            <w:r>
              <w:rPr>
                <w:b w:val="false"/>
                <w:bCs w:val="false"/>
                <w:color w:val="000000"/>
                <w:sz w:val="20"/>
                <w:szCs w:val="20"/>
              </w:rPr>
              <w:t xml:space="preserve">Nature</w:t>
            </w:r>
          </w:p>
        </w:tc>
        <w:tc>
          <w:tcPr>
            <w:tcW w:type="dxa" w:w="3500"/>
            <w:tcMar>
              <w:top w:type="dxa" w:w="80"/>
              <w:left w:type="dxa" w:w="120"/>
              <w:bottom w:type="dxa" w:w="80"/>
              <w:right w:type="dxa" w:w="120"/>
            </w:tcMar>
          </w:tcPr>
          <w:p>
            <w:r>
              <w:rPr>
                <w:b w:val="false"/>
                <w:bCs w:val="false"/>
                <w:color w:val="000000"/>
                <w:sz w:val="20"/>
                <w:szCs w:val="20"/>
              </w:rPr>
              <w:t xml:space="preserve">Succession de modèles (MCD, MLD, MPD...)</w:t>
            </w:r>
          </w:p>
        </w:tc>
        <w:tc>
          <w:tcPr>
            <w:tcW w:type="dxa" w:w="3650"/>
            <w:tcMar>
              <w:top w:type="dxa" w:w="80"/>
              <w:left w:type="dxa" w:w="120"/>
              <w:bottom w:type="dxa" w:w="80"/>
              <w:right w:type="dxa" w:w="120"/>
            </w:tcMar>
          </w:tcPr>
          <w:p>
            <w:r>
              <w:rPr>
                <w:b w:val="false"/>
                <w:bCs w:val="false"/>
                <w:color w:val="000000"/>
                <w:sz w:val="20"/>
                <w:szCs w:val="20"/>
              </w:rPr>
              <w:t xml:space="preserve">Ensemble de diagrammes complémentaires</w:t>
            </w:r>
          </w:p>
        </w:tc>
      </w:tr>
      <w:tr>
        <w:tc>
          <w:tcPr>
            <w:tcW w:type="dxa" w:w="2200"/>
            <w:tcMar>
              <w:top w:type="dxa" w:w="80"/>
              <w:left w:type="dxa" w:w="120"/>
              <w:bottom w:type="dxa" w:w="80"/>
              <w:right w:type="dxa" w:w="120"/>
            </w:tcMar>
          </w:tcPr>
          <w:p>
            <w:r>
              <w:rPr>
                <w:b w:val="false"/>
                <w:bCs w:val="false"/>
                <w:color w:val="000000"/>
                <w:sz w:val="20"/>
                <w:szCs w:val="20"/>
              </w:rPr>
              <w:t xml:space="preserve">Cible</w:t>
            </w:r>
          </w:p>
        </w:tc>
        <w:tc>
          <w:tcPr>
            <w:tcW w:type="dxa" w:w="3500"/>
            <w:tcMar>
              <w:top w:type="dxa" w:w="80"/>
              <w:left w:type="dxa" w:w="120"/>
              <w:bottom w:type="dxa" w:w="80"/>
              <w:right w:type="dxa" w:w="120"/>
            </w:tcMar>
          </w:tcPr>
          <w:p>
            <w:r>
              <w:rPr>
                <w:b w:val="false"/>
                <w:bCs w:val="false"/>
                <w:color w:val="000000"/>
                <w:sz w:val="20"/>
                <w:szCs w:val="20"/>
              </w:rPr>
              <w:t xml:space="preserve">Applications fonctionnelles ou objet</w:t>
            </w:r>
          </w:p>
        </w:tc>
        <w:tc>
          <w:tcPr>
            <w:tcW w:type="dxa" w:w="3650"/>
            <w:tcMar>
              <w:top w:type="dxa" w:w="80"/>
              <w:left w:type="dxa" w:w="120"/>
              <w:bottom w:type="dxa" w:w="80"/>
              <w:right w:type="dxa" w:w="120"/>
            </w:tcMar>
          </w:tcPr>
          <w:p>
            <w:r>
              <w:rPr>
                <w:b w:val="false"/>
                <w:bCs w:val="false"/>
                <w:color w:val="000000"/>
                <w:sz w:val="20"/>
                <w:szCs w:val="20"/>
              </w:rPr>
              <w:t xml:space="preserve">Applications orientées objet</w:t>
            </w:r>
          </w:p>
        </w:tc>
      </w:tr>
      <w:tr>
        <w:tc>
          <w:tcPr>
            <w:tcW w:type="dxa" w:w="2200"/>
            <w:tcMar>
              <w:top w:type="dxa" w:w="80"/>
              <w:left w:type="dxa" w:w="120"/>
              <w:bottom w:type="dxa" w:w="80"/>
              <w:right w:type="dxa" w:w="120"/>
            </w:tcMar>
          </w:tcPr>
          <w:p>
            <w:r>
              <w:rPr>
                <w:b w:val="false"/>
                <w:bCs w:val="false"/>
                <w:color w:val="000000"/>
                <w:sz w:val="20"/>
                <w:szCs w:val="20"/>
              </w:rPr>
              <w:t xml:space="preserve">Bases de données</w:t>
            </w:r>
          </w:p>
        </w:tc>
        <w:tc>
          <w:tcPr>
            <w:tcW w:type="dxa" w:w="3500"/>
            <w:tcMar>
              <w:top w:type="dxa" w:w="80"/>
              <w:left w:type="dxa" w:w="120"/>
              <w:bottom w:type="dxa" w:w="80"/>
              <w:right w:type="dxa" w:w="120"/>
            </w:tcMar>
          </w:tcPr>
          <w:p>
            <w:r>
              <w:rPr>
                <w:b w:val="false"/>
                <w:bCs w:val="false"/>
                <w:color w:val="000000"/>
                <w:sz w:val="20"/>
                <w:szCs w:val="20"/>
              </w:rPr>
              <w:t xml:space="preserve">Relationnelles</w:t>
            </w:r>
          </w:p>
        </w:tc>
        <w:tc>
          <w:tcPr>
            <w:tcW w:type="dxa" w:w="3650"/>
            <w:tcMar>
              <w:top w:type="dxa" w:w="80"/>
              <w:left w:type="dxa" w:w="120"/>
              <w:bottom w:type="dxa" w:w="80"/>
              <w:right w:type="dxa" w:w="120"/>
            </w:tcMar>
          </w:tcPr>
          <w:p>
            <w:r>
              <w:rPr>
                <w:b w:val="false"/>
                <w:bCs w:val="false"/>
                <w:color w:val="000000"/>
                <w:sz w:val="20"/>
                <w:szCs w:val="20"/>
              </w:rPr>
              <w:t xml:space="preserve">Relationnelles ou objet</w:t>
            </w:r>
          </w:p>
        </w:tc>
      </w:tr>
      <w:tr>
        <w:tc>
          <w:tcPr>
            <w:tcW w:type="dxa" w:w="2200"/>
            <w:tcMar>
              <w:top w:type="dxa" w:w="80"/>
              <w:left w:type="dxa" w:w="120"/>
              <w:bottom w:type="dxa" w:w="80"/>
              <w:right w:type="dxa" w:w="120"/>
            </w:tcMar>
          </w:tcPr>
          <w:p>
            <w:r>
              <w:rPr>
                <w:b w:val="false"/>
                <w:bCs w:val="false"/>
                <w:color w:val="000000"/>
                <w:sz w:val="20"/>
                <w:szCs w:val="20"/>
              </w:rPr>
              <w:t xml:space="preserve">Ce qui est modélisé</w:t>
            </w:r>
          </w:p>
        </w:tc>
        <w:tc>
          <w:tcPr>
            <w:tcW w:type="dxa" w:w="3500"/>
            <w:tcMar>
              <w:top w:type="dxa" w:w="80"/>
              <w:left w:type="dxa" w:w="120"/>
              <w:bottom w:type="dxa" w:w="80"/>
              <w:right w:type="dxa" w:w="120"/>
            </w:tcMar>
          </w:tcPr>
          <w:p>
            <w:r>
              <w:rPr>
                <w:b w:val="false"/>
                <w:bCs w:val="false"/>
                <w:color w:val="000000"/>
                <w:sz w:val="20"/>
                <w:szCs w:val="20"/>
              </w:rPr>
              <w:t xml:space="preserve">Acteurs, flux, données, traitements</w:t>
            </w:r>
          </w:p>
        </w:tc>
        <w:tc>
          <w:tcPr>
            <w:tcW w:type="dxa" w:w="3650"/>
            <w:tcMar>
              <w:top w:type="dxa" w:w="80"/>
              <w:left w:type="dxa" w:w="120"/>
              <w:bottom w:type="dxa" w:w="80"/>
              <w:right w:type="dxa" w:w="120"/>
            </w:tcMar>
          </w:tcPr>
          <w:p>
            <w:r>
              <w:rPr>
                <w:b w:val="false"/>
                <w:bCs w:val="false"/>
                <w:color w:val="000000"/>
                <w:sz w:val="20"/>
                <w:szCs w:val="20"/>
              </w:rPr>
              <w:t xml:space="preserve">Cas d'utilisation, classes, états, séquences...</w:t>
            </w:r>
          </w:p>
        </w:tc>
      </w:tr>
    </w:tbl>
    <w:p>
      <w:pPr>
        <w:spacing w:after="100"/>
      </w:pPr>
    </w:p>
    <w:p>
      <w:pPr>
        <w:spacing w:after="160" w:line="276"/>
        <w:jc w:val="both"/>
      </w:pPr>
      <w:r>
        <w:rPr>
          <w:sz w:val="22"/>
          <w:szCs w:val="22"/>
        </w:rPr>
        <w:t xml:space="preserve">Pour mon projet, UML est particulièrement adapté car l'application « Gestion des Notes » sera développée selon une approche orientée objet, avec des interfaces Web et Mobile s'appuyant sur les mêmes entités métier (étudiant, enseignant, note, bulletin, etc.).</w:t>
      </w:r>
    </w:p>
    <w:p>
      <w:pPr>
        <w:pStyle w:val="Heading1"/>
        <w:pBdr>
          <w:bottom w:val="single" w:color="1F3864" w:sz="6" w:space="4"/>
        </w:pBdr>
        <w:spacing w:after="200" w:before="400"/>
      </w:pPr>
      <w:r>
        <w:rPr>
          <w:b/>
          <w:bCs/>
          <w:color w:val="1F3864"/>
          <w:sz w:val="30"/>
          <w:szCs w:val="30"/>
        </w:rPr>
        <w:t xml:space="preserve">3. Les 13 diagrammes UML 2</w:t>
      </w:r>
    </w:p>
    <w:p>
      <w:pPr>
        <w:spacing w:after="160" w:line="276"/>
        <w:jc w:val="both"/>
      </w:pPr>
      <w:r>
        <w:rPr>
          <w:sz w:val="22"/>
          <w:szCs w:val="22"/>
        </w:rPr>
        <w:t xml:space="preserve">UML 2 propose 13 diagrammes qui se répartissent en deux grandes familles complémentaires :</w:t>
      </w:r>
    </w:p>
    <w:p>
      <w:pPr>
        <w:pStyle w:val="Heading3"/>
        <w:spacing w:after="100" w:before="200"/>
      </w:pPr>
      <w:r>
        <w:rPr>
          <w:b/>
          <w:bCs/>
          <w:i/>
          <w:iCs/>
          <w:color w:val="404040"/>
          <w:sz w:val="22"/>
          <w:szCs w:val="22"/>
        </w:rPr>
        <w:t xml:space="preserve">3.1 Diagrammes de structure</w:t>
      </w:r>
    </w:p>
    <w:p>
      <w:pPr>
        <w:spacing w:after="160" w:line="276"/>
        <w:jc w:val="left"/>
      </w:pPr>
      <w:r>
        <w:rPr>
          <w:sz w:val="22"/>
          <w:szCs w:val="22"/>
        </w:rPr>
        <w:t xml:space="preserve">Ils décrivent l'organisation statique du système (les « choses » qui le composent) :</w:t>
      </w:r>
    </w:p>
    <w:p>
      <w:pPr>
        <w:pStyle w:val="ListParagraph"/>
        <w:numPr>
          <w:ilvl w:val="0"/>
          <w:numId w:val="2"/>
        </w:numPr>
        <w:spacing w:after="90"/>
      </w:pPr>
      <w:r>
        <w:rPr>
          <w:sz w:val="22"/>
          <w:szCs w:val="22"/>
        </w:rPr>
        <w:t xml:space="preserve">Diagramme de classes</w:t>
      </w:r>
    </w:p>
    <w:p>
      <w:pPr>
        <w:pStyle w:val="ListParagraph"/>
        <w:numPr>
          <w:ilvl w:val="0"/>
          <w:numId w:val="2"/>
        </w:numPr>
        <w:spacing w:after="90"/>
      </w:pPr>
      <w:r>
        <w:rPr>
          <w:sz w:val="22"/>
          <w:szCs w:val="22"/>
        </w:rPr>
        <w:t xml:space="preserve">Diagramme d'objets</w:t>
      </w:r>
    </w:p>
    <w:p>
      <w:pPr>
        <w:pStyle w:val="ListParagraph"/>
        <w:numPr>
          <w:ilvl w:val="0"/>
          <w:numId w:val="2"/>
        </w:numPr>
        <w:spacing w:after="90"/>
      </w:pPr>
      <w:r>
        <w:rPr>
          <w:sz w:val="22"/>
          <w:szCs w:val="22"/>
        </w:rPr>
        <w:t xml:space="preserve">Diagramme de paquetages (packages)</w:t>
      </w:r>
    </w:p>
    <w:p>
      <w:pPr>
        <w:pStyle w:val="ListParagraph"/>
        <w:numPr>
          <w:ilvl w:val="0"/>
          <w:numId w:val="2"/>
        </w:numPr>
        <w:spacing w:after="90"/>
      </w:pPr>
      <w:r>
        <w:rPr>
          <w:sz w:val="22"/>
          <w:szCs w:val="22"/>
        </w:rPr>
        <w:t xml:space="preserve">Diagramme de composants</w:t>
      </w:r>
    </w:p>
    <w:p>
      <w:pPr>
        <w:pStyle w:val="ListParagraph"/>
        <w:numPr>
          <w:ilvl w:val="0"/>
          <w:numId w:val="2"/>
        </w:numPr>
        <w:spacing w:after="90"/>
      </w:pPr>
      <w:r>
        <w:rPr>
          <w:sz w:val="22"/>
          <w:szCs w:val="22"/>
        </w:rPr>
        <w:t xml:space="preserve">Diagramme de déploiement</w:t>
      </w:r>
    </w:p>
    <w:p>
      <w:pPr>
        <w:pStyle w:val="ListParagraph"/>
        <w:numPr>
          <w:ilvl w:val="0"/>
          <w:numId w:val="2"/>
        </w:numPr>
        <w:spacing w:after="90"/>
      </w:pPr>
      <w:r>
        <w:rPr>
          <w:sz w:val="22"/>
          <w:szCs w:val="22"/>
        </w:rPr>
        <w:t xml:space="preserve">Diagramme de structure composite</w:t>
      </w:r>
    </w:p>
    <w:p>
      <w:pPr>
        <w:pStyle w:val="Heading3"/>
        <w:spacing w:after="100" w:before="200"/>
      </w:pPr>
      <w:r>
        <w:rPr>
          <w:b/>
          <w:bCs/>
          <w:i/>
          <w:iCs/>
          <w:color w:val="404040"/>
          <w:sz w:val="22"/>
          <w:szCs w:val="22"/>
        </w:rPr>
        <w:t xml:space="preserve">3.2 Diagrammes de comportement</w:t>
      </w:r>
    </w:p>
    <w:p>
      <w:pPr>
        <w:spacing w:after="160" w:line="276"/>
        <w:jc w:val="left"/>
      </w:pPr>
      <w:r>
        <w:rPr>
          <w:sz w:val="22"/>
          <w:szCs w:val="22"/>
        </w:rPr>
        <w:t xml:space="preserve">Ils décrivent le fonctionnement dynamique du système (ce qu'il fait, comment les objets interagissent) :</w:t>
      </w:r>
    </w:p>
    <w:p>
      <w:pPr>
        <w:pStyle w:val="ListParagraph"/>
        <w:numPr>
          <w:ilvl w:val="0"/>
          <w:numId w:val="2"/>
        </w:numPr>
        <w:spacing w:after="90"/>
      </w:pPr>
      <w:r>
        <w:rPr>
          <w:sz w:val="22"/>
          <w:szCs w:val="22"/>
        </w:rPr>
        <w:t xml:space="preserve">Diagramme de cas d'utilisation</w:t>
      </w:r>
    </w:p>
    <w:p>
      <w:pPr>
        <w:pStyle w:val="ListParagraph"/>
        <w:numPr>
          <w:ilvl w:val="0"/>
          <w:numId w:val="2"/>
        </w:numPr>
        <w:spacing w:after="90"/>
      </w:pPr>
      <w:r>
        <w:rPr>
          <w:sz w:val="22"/>
          <w:szCs w:val="22"/>
        </w:rPr>
        <w:t xml:space="preserve">Diagramme d'activités</w:t>
      </w:r>
    </w:p>
    <w:p>
      <w:pPr>
        <w:pStyle w:val="ListParagraph"/>
        <w:numPr>
          <w:ilvl w:val="0"/>
          <w:numId w:val="2"/>
        </w:numPr>
        <w:spacing w:after="90"/>
      </w:pPr>
      <w:r>
        <w:rPr>
          <w:sz w:val="22"/>
          <w:szCs w:val="22"/>
        </w:rPr>
        <w:t xml:space="preserve">Diagramme de transition d'état (diagramme d'états)</w:t>
      </w:r>
    </w:p>
    <w:p>
      <w:pPr>
        <w:pStyle w:val="ListParagraph"/>
        <w:numPr>
          <w:ilvl w:val="0"/>
          <w:numId w:val="2"/>
        </w:numPr>
        <w:spacing w:after="90"/>
      </w:pPr>
      <w:r>
        <w:rPr>
          <w:sz w:val="22"/>
          <w:szCs w:val="22"/>
        </w:rPr>
        <w:t xml:space="preserve">Diagramme d'interactions, qui se subdivise en :</w:t>
      </w:r>
    </w:p>
    <w:p>
      <w:pPr>
        <w:pStyle w:val="ListParagraph"/>
        <w:numPr>
          <w:ilvl w:val="1"/>
          <w:numId w:val="2"/>
        </w:numPr>
        <w:spacing w:after="90"/>
      </w:pPr>
      <w:r>
        <w:rPr>
          <w:sz w:val="22"/>
          <w:szCs w:val="22"/>
        </w:rPr>
        <w:t xml:space="preserve">Diagramme de séquence</w:t>
      </w:r>
    </w:p>
    <w:p>
      <w:pPr>
        <w:pStyle w:val="ListParagraph"/>
        <w:numPr>
          <w:ilvl w:val="1"/>
          <w:numId w:val="2"/>
        </w:numPr>
        <w:spacing w:after="90"/>
      </w:pPr>
      <w:r>
        <w:rPr>
          <w:sz w:val="22"/>
          <w:szCs w:val="22"/>
        </w:rPr>
        <w:t xml:space="preserve">Diagramme de communication</w:t>
      </w:r>
    </w:p>
    <w:p>
      <w:pPr>
        <w:pStyle w:val="ListParagraph"/>
        <w:numPr>
          <w:ilvl w:val="1"/>
          <w:numId w:val="2"/>
        </w:numPr>
        <w:spacing w:after="90"/>
      </w:pPr>
      <w:r>
        <w:rPr>
          <w:sz w:val="22"/>
          <w:szCs w:val="22"/>
        </w:rPr>
        <w:t xml:space="preserve">Diagramme de temps</w:t>
      </w:r>
    </w:p>
    <w:p>
      <w:pPr>
        <w:pStyle w:val="ListParagraph"/>
        <w:numPr>
          <w:ilvl w:val="1"/>
          <w:numId w:val="2"/>
        </w:numPr>
        <w:spacing w:after="90"/>
      </w:pPr>
      <w:r>
        <w:rPr>
          <w:sz w:val="22"/>
          <w:szCs w:val="22"/>
        </w:rPr>
        <w:t xml:space="preserve">Diagramme vue d'ensemble des interactions</w:t>
      </w:r>
    </w:p>
    <w:p>
      <w:pPr>
        <w:spacing w:after="100"/>
      </w:pPr>
    </w:p>
    <w:p>
      <w:pPr>
        <w:spacing w:after="160" w:line="276"/>
        <w:jc w:val="both"/>
      </w:pPr>
      <w:r>
        <w:rPr>
          <w:sz w:val="22"/>
          <w:szCs w:val="22"/>
        </w:rPr>
        <w:t xml:space="preserve">Dans le cadre du projet, cinq de ces diagrammes sont directement mobilisés pour le recueil des besoins et la conception : le diagramme de cas d'utilisation (déjà réalisé pour les trois acteurs Étudiant, Enseignant et Agent), le diagramme de classes (qui prépare le futur Modèle Conceptuel de Données), le diagramme de séquence (pour le circuit de publication des notes), le diagramme d'états (pour le cycle de vie d'une note ou d'une requête) et le diagramme d'activités (pour le scénario nominal de publication).</w:t>
      </w:r>
    </w:p>
    <w:p>
      <w:pPr>
        <w:pStyle w:val="Heading1"/>
        <w:pBdr>
          <w:bottom w:val="single" w:color="1F3864" w:sz="6" w:space="4"/>
        </w:pBdr>
        <w:spacing w:after="200" w:before="400"/>
      </w:pPr>
      <w:r>
        <w:rPr>
          <w:b/>
          <w:bCs/>
          <w:color w:val="1F3864"/>
          <w:sz w:val="30"/>
          <w:szCs w:val="30"/>
        </w:rPr>
        <w:t xml:space="preserve">4. Le diagramme de cas d'utilisation</w:t>
      </w:r>
    </w:p>
    <w:p>
      <w:pPr>
        <w:spacing w:after="160" w:line="276"/>
        <w:jc w:val="both"/>
      </w:pPr>
      <w:r>
        <w:rPr>
          <w:sz w:val="22"/>
          <w:szCs w:val="22"/>
        </w:rPr>
        <w:t xml:space="preserve">Ce diagramme schématise l'expression des besoins du point de vue d'un acteur. Il se présente sous deux formes complémentaires : un schéma regroupant les activités d'un acteur, et un tableau détaillant, pour chaque cas d'utilisation, le scénario nominal et les cas alternatifs.</w:t>
      </w:r>
    </w:p>
    <w:p>
      <w:pPr>
        <w:pStyle w:val="Heading3"/>
        <w:spacing w:after="100" w:before="200"/>
      </w:pPr>
      <w:r>
        <w:rPr>
          <w:b/>
          <w:bCs/>
          <w:i/>
          <w:iCs/>
          <w:color w:val="404040"/>
          <w:sz w:val="22"/>
          <w:szCs w:val="22"/>
        </w:rPr>
        <w:t xml:space="preserve">4.1 Rôle</w:t>
      </w:r>
    </w:p>
    <w:p>
      <w:pPr>
        <w:pStyle w:val="ListParagraph"/>
        <w:numPr>
          <w:ilvl w:val="0"/>
          <w:numId w:val="2"/>
        </w:numPr>
        <w:spacing w:after="90"/>
      </w:pPr>
      <w:r>
        <w:rPr>
          <w:sz w:val="22"/>
          <w:szCs w:val="22"/>
        </w:rPr>
        <w:t xml:space="preserve">Représentation globale (schéma) ou détaillée (tableau) des activités d'un acteur — vision du système par l'acteur.</w:t>
      </w:r>
    </w:p>
    <w:p>
      <w:pPr>
        <w:pStyle w:val="ListParagraph"/>
        <w:numPr>
          <w:ilvl w:val="0"/>
          <w:numId w:val="2"/>
        </w:numPr>
        <w:spacing w:after="90"/>
      </w:pPr>
      <w:r>
        <w:rPr>
          <w:sz w:val="22"/>
          <w:szCs w:val="22"/>
        </w:rPr>
        <w:t xml:space="preserve">Ensemble des opérations possibles entre un acteur et le système.</w:t>
      </w:r>
    </w:p>
    <w:p>
      <w:pPr>
        <w:pStyle w:val="ListParagraph"/>
        <w:numPr>
          <w:ilvl w:val="0"/>
          <w:numId w:val="2"/>
        </w:numPr>
        <w:spacing w:after="90"/>
      </w:pPr>
      <w:r>
        <w:rPr>
          <w:sz w:val="22"/>
          <w:szCs w:val="22"/>
        </w:rPr>
        <w:t xml:space="preserve">Base de travail pour construire les interfaces graphiques.</w:t>
      </w:r>
    </w:p>
    <w:p>
      <w:pPr>
        <w:pStyle w:val="Heading3"/>
        <w:spacing w:after="100" w:before="200"/>
      </w:pPr>
      <w:r>
        <w:rPr>
          <w:b/>
          <w:bCs/>
          <w:i/>
          <w:iCs/>
          <w:color w:val="404040"/>
          <w:sz w:val="22"/>
          <w:szCs w:val="22"/>
        </w:rPr>
        <w:t xml:space="preserve">4.2 Syntaxe essentielle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Élément</w:t>
            </w:r>
          </w:p>
        </w:tc>
        <w:tc>
          <w:tcPr>
            <w:tcW w:type="dxa" w:w="2600"/>
            <w:shd w:fill="1F3864" w:val="clear"/>
            <w:tcMar>
              <w:top w:type="dxa" w:w="80"/>
              <w:left w:type="dxa" w:w="120"/>
              <w:bottom w:type="dxa" w:w="80"/>
              <w:right w:type="dxa" w:w="120"/>
            </w:tcMar>
          </w:tcPr>
          <w:p>
            <w:r>
              <w:rPr>
                <w:b/>
                <w:bCs/>
                <w:color w:val="FFFFFF"/>
                <w:sz w:val="20"/>
                <w:szCs w:val="20"/>
              </w:rPr>
              <w:t xml:space="preserve">Notation</w:t>
            </w:r>
          </w:p>
        </w:tc>
        <w:tc>
          <w:tcPr>
            <w:tcW w:type="dxa" w:w="4150"/>
            <w:shd w:fill="1F3864" w:val="clear"/>
            <w:tcMar>
              <w:top w:type="dxa" w:w="80"/>
              <w:left w:type="dxa" w:w="120"/>
              <w:bottom w:type="dxa" w:w="80"/>
              <w:right w:type="dxa" w:w="120"/>
            </w:tcMar>
          </w:tcPr>
          <w:p>
            <w:r>
              <w:rPr>
                <w:b/>
                <w:bCs/>
                <w:color w:val="FFFFFF"/>
                <w:sz w:val="20"/>
                <w:szCs w:val="20"/>
              </w:rPr>
              <w:t xml:space="preserve">Signification</w:t>
            </w:r>
          </w:p>
        </w:tc>
      </w:tr>
      <w:tr>
        <w:tc>
          <w:tcPr>
            <w:tcW w:type="dxa" w:w="2600"/>
            <w:tcMar>
              <w:top w:type="dxa" w:w="80"/>
              <w:left w:type="dxa" w:w="120"/>
              <w:bottom w:type="dxa" w:w="80"/>
              <w:right w:type="dxa" w:w="120"/>
            </w:tcMar>
          </w:tcPr>
          <w:p>
            <w:r>
              <w:rPr>
                <w:b w:val="false"/>
                <w:bCs w:val="false"/>
                <w:color w:val="000000"/>
                <w:sz w:val="20"/>
                <w:szCs w:val="20"/>
              </w:rPr>
              <w:t xml:space="preserve">Acteur</w:t>
            </w:r>
          </w:p>
        </w:tc>
        <w:tc>
          <w:tcPr>
            <w:tcW w:type="dxa" w:w="2600"/>
            <w:tcMar>
              <w:top w:type="dxa" w:w="80"/>
              <w:left w:type="dxa" w:w="120"/>
              <w:bottom w:type="dxa" w:w="80"/>
              <w:right w:type="dxa" w:w="120"/>
            </w:tcMar>
          </w:tcPr>
          <w:p>
            <w:r>
              <w:rPr>
                <w:b w:val="false"/>
                <w:bCs w:val="false"/>
                <w:color w:val="000000"/>
                <w:sz w:val="20"/>
                <w:szCs w:val="20"/>
              </w:rPr>
              <w:t xml:space="preserve">Bonhomme allumette</w:t>
            </w:r>
          </w:p>
        </w:tc>
        <w:tc>
          <w:tcPr>
            <w:tcW w:type="dxa" w:w="4150"/>
            <w:tcMar>
              <w:top w:type="dxa" w:w="80"/>
              <w:left w:type="dxa" w:w="120"/>
              <w:bottom w:type="dxa" w:w="80"/>
              <w:right w:type="dxa" w:w="120"/>
            </w:tcMar>
          </w:tcPr>
          <w:p>
            <w:r>
              <w:rPr>
                <w:b w:val="false"/>
                <w:bCs w:val="false"/>
                <w:color w:val="000000"/>
                <w:sz w:val="20"/>
                <w:szCs w:val="20"/>
              </w:rPr>
              <w:t xml:space="preserve">Personne ou système externe qui interagit avec le système</w:t>
            </w:r>
          </w:p>
        </w:tc>
      </w:tr>
      <w:tr>
        <w:tc>
          <w:tcPr>
            <w:tcW w:type="dxa" w:w="2600"/>
            <w:tcMar>
              <w:top w:type="dxa" w:w="80"/>
              <w:left w:type="dxa" w:w="120"/>
              <w:bottom w:type="dxa" w:w="80"/>
              <w:right w:type="dxa" w:w="120"/>
            </w:tcMar>
          </w:tcPr>
          <w:p>
            <w:r>
              <w:rPr>
                <w:b w:val="false"/>
                <w:bCs w:val="false"/>
                <w:color w:val="000000"/>
                <w:sz w:val="20"/>
                <w:szCs w:val="20"/>
              </w:rPr>
              <w:t xml:space="preserve">Cas d'utilisation</w:t>
            </w:r>
          </w:p>
        </w:tc>
        <w:tc>
          <w:tcPr>
            <w:tcW w:type="dxa" w:w="2600"/>
            <w:tcMar>
              <w:top w:type="dxa" w:w="80"/>
              <w:left w:type="dxa" w:w="120"/>
              <w:bottom w:type="dxa" w:w="80"/>
              <w:right w:type="dxa" w:w="120"/>
            </w:tcMar>
          </w:tcPr>
          <w:p>
            <w:r>
              <w:rPr>
                <w:b w:val="false"/>
                <w:bCs w:val="false"/>
                <w:color w:val="000000"/>
                <w:sz w:val="20"/>
                <w:szCs w:val="20"/>
              </w:rPr>
              <w:t xml:space="preserve">Ellipse</w:t>
            </w:r>
          </w:p>
        </w:tc>
        <w:tc>
          <w:tcPr>
            <w:tcW w:type="dxa" w:w="4150"/>
            <w:tcMar>
              <w:top w:type="dxa" w:w="80"/>
              <w:left w:type="dxa" w:w="120"/>
              <w:bottom w:type="dxa" w:w="80"/>
              <w:right w:type="dxa" w:w="120"/>
            </w:tcMar>
          </w:tcPr>
          <w:p>
            <w:r>
              <w:rPr>
                <w:b w:val="false"/>
                <w:bCs w:val="false"/>
                <w:color w:val="000000"/>
                <w:sz w:val="20"/>
                <w:szCs w:val="20"/>
              </w:rPr>
              <w:t xml:space="preserve">Une fonctionnalité ou un service rendu par le système</w:t>
            </w:r>
          </w:p>
        </w:tc>
      </w:tr>
      <w:tr>
        <w:tc>
          <w:tcPr>
            <w:tcW w:type="dxa" w:w="2600"/>
            <w:tcMar>
              <w:top w:type="dxa" w:w="80"/>
              <w:left w:type="dxa" w:w="120"/>
              <w:bottom w:type="dxa" w:w="80"/>
              <w:right w:type="dxa" w:w="120"/>
            </w:tcMar>
          </w:tcPr>
          <w:p>
            <w:r>
              <w:rPr>
                <w:b w:val="false"/>
                <w:bCs w:val="false"/>
                <w:color w:val="000000"/>
                <w:sz w:val="20"/>
                <w:szCs w:val="20"/>
              </w:rPr>
              <w:t xml:space="preserve">Association de communication</w:t>
            </w:r>
          </w:p>
        </w:tc>
        <w:tc>
          <w:tcPr>
            <w:tcW w:type="dxa" w:w="2600"/>
            <w:tcMar>
              <w:top w:type="dxa" w:w="80"/>
              <w:left w:type="dxa" w:w="120"/>
              <w:bottom w:type="dxa" w:w="80"/>
              <w:right w:type="dxa" w:w="120"/>
            </w:tcMar>
          </w:tcPr>
          <w:p>
            <w:r>
              <w:rPr>
                <w:b w:val="false"/>
                <w:bCs w:val="false"/>
                <w:color w:val="000000"/>
                <w:sz w:val="20"/>
                <w:szCs w:val="20"/>
              </w:rPr>
              <w:t xml:space="preserve">Trait simple</w:t>
            </w:r>
          </w:p>
        </w:tc>
        <w:tc>
          <w:tcPr>
            <w:tcW w:type="dxa" w:w="4150"/>
            <w:tcMar>
              <w:top w:type="dxa" w:w="80"/>
              <w:left w:type="dxa" w:w="120"/>
              <w:bottom w:type="dxa" w:w="80"/>
              <w:right w:type="dxa" w:w="120"/>
            </w:tcMar>
          </w:tcPr>
          <w:p>
            <w:r>
              <w:rPr>
                <w:b w:val="false"/>
                <w:bCs w:val="false"/>
                <w:color w:val="000000"/>
                <w:sz w:val="20"/>
                <w:szCs w:val="20"/>
              </w:rPr>
              <w:t xml:space="preserve">Lien entre un acteur et un cas d'utilisation</w:t>
            </w:r>
          </w:p>
        </w:tc>
      </w:tr>
      <w:tr>
        <w:tc>
          <w:tcPr>
            <w:tcW w:type="dxa" w:w="2600"/>
            <w:tcMar>
              <w:top w:type="dxa" w:w="80"/>
              <w:left w:type="dxa" w:w="120"/>
              <w:bottom w:type="dxa" w:w="80"/>
              <w:right w:type="dxa" w:w="120"/>
            </w:tcMar>
          </w:tcPr>
          <w:p>
            <w:r>
              <w:rPr>
                <w:b w:val="false"/>
                <w:bCs w:val="false"/>
                <w:color w:val="000000"/>
                <w:sz w:val="20"/>
                <w:szCs w:val="20"/>
              </w:rPr>
              <w:t xml:space="preserve">Spécialisation entre acteurs</w:t>
            </w:r>
          </w:p>
        </w:tc>
        <w:tc>
          <w:tcPr>
            <w:tcW w:type="dxa" w:w="2600"/>
            <w:tcMar>
              <w:top w:type="dxa" w:w="80"/>
              <w:left w:type="dxa" w:w="120"/>
              <w:bottom w:type="dxa" w:w="80"/>
              <w:right w:type="dxa" w:w="120"/>
            </w:tcMar>
          </w:tcPr>
          <w:p>
            <w:r>
              <w:rPr>
                <w:b w:val="false"/>
                <w:bCs w:val="false"/>
                <w:color w:val="000000"/>
                <w:sz w:val="20"/>
                <w:szCs w:val="20"/>
              </w:rPr>
              <w:t xml:space="preserve">Flèche pleine (triangle)</w:t>
            </w:r>
          </w:p>
        </w:tc>
        <w:tc>
          <w:tcPr>
            <w:tcW w:type="dxa" w:w="4150"/>
            <w:tcMar>
              <w:top w:type="dxa" w:w="80"/>
              <w:left w:type="dxa" w:w="120"/>
              <w:bottom w:type="dxa" w:w="80"/>
              <w:right w:type="dxa" w:w="120"/>
            </w:tcMar>
          </w:tcPr>
          <w:p>
            <w:r>
              <w:rPr>
                <w:b w:val="false"/>
                <w:bCs w:val="false"/>
                <w:color w:val="000000"/>
                <w:sz w:val="20"/>
                <w:szCs w:val="20"/>
              </w:rPr>
              <w:t xml:space="preserve">Un acteur hérite du comportement d'un autre</w:t>
            </w:r>
          </w:p>
        </w:tc>
      </w:tr>
      <w:tr>
        <w:tc>
          <w:tcPr>
            <w:tcW w:type="dxa" w:w="2600"/>
            <w:tcMar>
              <w:top w:type="dxa" w:w="80"/>
              <w:left w:type="dxa" w:w="120"/>
              <w:bottom w:type="dxa" w:w="80"/>
              <w:right w:type="dxa" w:w="120"/>
            </w:tcMar>
          </w:tcPr>
          <w:p>
            <w:r>
              <w:rPr>
                <w:b w:val="false"/>
                <w:bCs w:val="false"/>
                <w:color w:val="000000"/>
                <w:sz w:val="20"/>
                <w:szCs w:val="20"/>
              </w:rPr>
              <w:t xml:space="preserve">&lt;&lt;include&gt;&gt;</w:t>
            </w:r>
          </w:p>
        </w:tc>
        <w:tc>
          <w:tcPr>
            <w:tcW w:type="dxa" w:w="2600"/>
            <w:tcMar>
              <w:top w:type="dxa" w:w="80"/>
              <w:left w:type="dxa" w:w="120"/>
              <w:bottom w:type="dxa" w:w="80"/>
              <w:right w:type="dxa" w:w="120"/>
            </w:tcMar>
          </w:tcPr>
          <w:p>
            <w:r>
              <w:rPr>
                <w:b w:val="false"/>
                <w:bCs w:val="false"/>
                <w:color w:val="000000"/>
                <w:sz w:val="20"/>
                <w:szCs w:val="20"/>
              </w:rPr>
              <w:t xml:space="preserve">Flèche pointillée</w:t>
            </w:r>
          </w:p>
        </w:tc>
        <w:tc>
          <w:tcPr>
            <w:tcW w:type="dxa" w:w="4150"/>
            <w:tcMar>
              <w:top w:type="dxa" w:w="80"/>
              <w:left w:type="dxa" w:w="120"/>
              <w:bottom w:type="dxa" w:w="80"/>
              <w:right w:type="dxa" w:w="120"/>
            </w:tcMar>
          </w:tcPr>
          <w:p>
            <w:r>
              <w:rPr>
                <w:b w:val="false"/>
                <w:bCs w:val="false"/>
                <w:color w:val="000000"/>
                <w:sz w:val="20"/>
                <w:szCs w:val="20"/>
              </w:rPr>
              <w:t xml:space="preserve">Inclusion obligatoire d'un cas dans un autre</w:t>
            </w:r>
          </w:p>
        </w:tc>
      </w:tr>
      <w:tr>
        <w:tc>
          <w:tcPr>
            <w:tcW w:type="dxa" w:w="2600"/>
            <w:tcMar>
              <w:top w:type="dxa" w:w="80"/>
              <w:left w:type="dxa" w:w="120"/>
              <w:bottom w:type="dxa" w:w="80"/>
              <w:right w:type="dxa" w:w="120"/>
            </w:tcMar>
          </w:tcPr>
          <w:p>
            <w:r>
              <w:rPr>
                <w:b w:val="false"/>
                <w:bCs w:val="false"/>
                <w:color w:val="000000"/>
                <w:sz w:val="20"/>
                <w:szCs w:val="20"/>
              </w:rPr>
              <w:t xml:space="preserve">&lt;&lt;extend&gt;&gt;</w:t>
            </w:r>
          </w:p>
        </w:tc>
        <w:tc>
          <w:tcPr>
            <w:tcW w:type="dxa" w:w="2600"/>
            <w:tcMar>
              <w:top w:type="dxa" w:w="80"/>
              <w:left w:type="dxa" w:w="120"/>
              <w:bottom w:type="dxa" w:w="80"/>
              <w:right w:type="dxa" w:w="120"/>
            </w:tcMar>
          </w:tcPr>
          <w:p>
            <w:r>
              <w:rPr>
                <w:b w:val="false"/>
                <w:bCs w:val="false"/>
                <w:color w:val="000000"/>
                <w:sz w:val="20"/>
                <w:szCs w:val="20"/>
              </w:rPr>
              <w:t xml:space="preserve">Flèche pointillée</w:t>
            </w:r>
          </w:p>
        </w:tc>
        <w:tc>
          <w:tcPr>
            <w:tcW w:type="dxa" w:w="4150"/>
            <w:tcMar>
              <w:top w:type="dxa" w:w="80"/>
              <w:left w:type="dxa" w:w="120"/>
              <w:bottom w:type="dxa" w:w="80"/>
              <w:right w:type="dxa" w:w="120"/>
            </w:tcMar>
          </w:tcPr>
          <w:p>
            <w:r>
              <w:rPr>
                <w:b w:val="false"/>
                <w:bCs w:val="false"/>
                <w:color w:val="000000"/>
                <w:sz w:val="20"/>
                <w:szCs w:val="20"/>
              </w:rPr>
              <w:t xml:space="preserve">Inclusion optionnelle d'un cas dans un autre</w:t>
            </w:r>
          </w:p>
        </w:tc>
      </w:tr>
    </w:tbl>
    <w:p>
      <w:pPr>
        <w:spacing w:after="100"/>
      </w:pPr>
    </w:p>
    <w:p>
      <w:pPr>
        <w:pStyle w:val="Heading3"/>
        <w:spacing w:after="100" w:before="200"/>
      </w:pPr>
      <w:r>
        <w:rPr>
          <w:b/>
          <w:bCs/>
          <w:i/>
          <w:iCs/>
          <w:color w:val="404040"/>
          <w:sz w:val="22"/>
          <w:szCs w:val="22"/>
        </w:rPr>
        <w:t xml:space="preserve">4.3 Le tableau des opérations</w:t>
      </w:r>
    </w:p>
    <w:p>
      <w:pPr>
        <w:spacing w:after="160" w:line="276"/>
        <w:jc w:val="both"/>
      </w:pPr>
      <w:r>
        <w:rPr>
          <w:sz w:val="22"/>
          <w:szCs w:val="22"/>
        </w:rPr>
        <w:t xml:space="preserve">Chaque cas d'utilisation (chaque ellipse) peut être détaillé par un tableau reprenant : l'acteur concerné, l'événement déclencheur, l'intérêt de l'acteur, les pré-conditions et post-conditions, le scénario nominal (étapes numérotées), les extensions et les contraintes (cas d'erreur, avec renvoi à une étape du scénario).</w:t>
      </w:r>
    </w:p>
    <w:p>
      <w:pPr>
        <w:pStyle w:val="Heading3"/>
        <w:spacing w:after="100" w:before="200"/>
      </w:pPr>
      <w:r>
        <w:rPr>
          <w:b/>
          <w:bCs/>
          <w:i/>
          <w:iCs/>
          <w:color w:val="404040"/>
          <w:sz w:val="22"/>
          <w:szCs w:val="22"/>
        </w:rPr>
        <w:t xml:space="preserve">4.4 Application au projet « Gestion des Notes »</w:t>
      </w:r>
    </w:p>
    <w:p>
      <w:pPr>
        <w:spacing w:after="160" w:line="276"/>
        <w:jc w:val="both"/>
      </w:pPr>
      <w:r>
        <w:rPr>
          <w:sz w:val="22"/>
          <w:szCs w:val="22"/>
        </w:rPr>
        <w:t xml:space="preserve">J'ai identifié trois acteurs principaux, chacun avec ses propres cas d'utilisation, en respectant la précondition commune d'authentification obligatoire :</w:t>
      </w:r>
    </w:p>
    <w:p>
      <w:pPr>
        <w:pStyle w:val="ListParagraph"/>
        <w:numPr>
          <w:ilvl w:val="0"/>
          <w:numId w:val="2"/>
        </w:numPr>
        <w:spacing w:after="90"/>
      </w:pPr>
      <w:r>
        <w:rPr>
          <w:sz w:val="22"/>
          <w:szCs w:val="22"/>
        </w:rPr>
        <w:t xml:space="preserve">Étudiant : choisir ses matières/UE à reprendre, consulter ses notes, consulter son bulletin, soumettre une requête.</w:t>
      </w:r>
    </w:p>
    <w:p>
      <w:pPr>
        <w:pStyle w:val="ListParagraph"/>
        <w:numPr>
          <w:ilvl w:val="0"/>
          <w:numId w:val="2"/>
        </w:numPr>
        <w:spacing w:after="90"/>
      </w:pPr>
      <w:r>
        <w:rPr>
          <w:sz w:val="22"/>
          <w:szCs w:val="22"/>
        </w:rPr>
        <w:t xml:space="preserve">Enseignant : sélectionner ses matières enseignées, consulter la liste des inscrits, saisir les notes, vérifier les notes numérisées, traiter une requête.</w:t>
      </w:r>
    </w:p>
    <w:p>
      <w:pPr>
        <w:pStyle w:val="ListParagraph"/>
        <w:numPr>
          <w:ilvl w:val="0"/>
          <w:numId w:val="2"/>
        </w:numPr>
        <w:spacing w:after="90"/>
      </w:pPr>
      <w:r>
        <w:rPr>
          <w:sz w:val="22"/>
          <w:szCs w:val="22"/>
        </w:rPr>
        <w:t xml:space="preserve">Agent (cellule informatique / administrateur) : gérer la structure académique, créer les matières par classe, numériser les notes, calculer la MGP et générer les bulletins, publier les résultats.</w:t>
      </w:r>
    </w:p>
    <w:p>
      <w:pPr>
        <w:spacing w:after="160" w:line="276"/>
        <w:jc w:val="both"/>
      </w:pPr>
      <w:r>
        <w:rPr>
          <w:sz w:val="22"/>
          <w:szCs w:val="22"/>
        </w:rPr>
        <w:t xml:space="preserve">Le circuit de vérification des notes relie directement l'Enseignant et l'Agent (relation &lt;&lt;include&gt;&gt; entre « saisir les notes » et « transmettre à la cellule »), tandis que la relation Étudiant → Requête est de type &lt;&lt;extend&gt;&gt; car elle n'intervient qu'en cas d'absence de note.</w:t>
      </w:r>
    </w:p>
    <w:p>
      <w:pPr>
        <w:pStyle w:val="Heading1"/>
        <w:pBdr>
          <w:bottom w:val="single" w:color="1F3864" w:sz="6" w:space="4"/>
        </w:pBdr>
        <w:spacing w:after="200" w:before="400"/>
      </w:pPr>
      <w:r>
        <w:rPr>
          <w:b/>
          <w:bCs/>
          <w:color w:val="1F3864"/>
          <w:sz w:val="30"/>
          <w:szCs w:val="30"/>
        </w:rPr>
        <w:t xml:space="preserve">5. Le diagramme de classes</w:t>
      </w:r>
    </w:p>
    <w:p>
      <w:pPr>
        <w:spacing w:after="160" w:line="276"/>
        <w:jc w:val="both"/>
      </w:pPr>
      <w:r>
        <w:rPr>
          <w:sz w:val="22"/>
          <w:szCs w:val="22"/>
        </w:rPr>
        <w:t xml:space="preserve">C'est le diagramme le plus structurant : il représente l'organisation des classes de l'application et de leurs liens, et prépare directement la base de données (à travers le futur Modèle Conceptuel de Données).</w:t>
      </w:r>
    </w:p>
    <w:p>
      <w:pPr>
        <w:pStyle w:val="Heading3"/>
        <w:spacing w:after="100" w:before="200"/>
      </w:pPr>
      <w:r>
        <w:rPr>
          <w:b/>
          <w:bCs/>
          <w:i/>
          <w:iCs/>
          <w:color w:val="404040"/>
          <w:sz w:val="22"/>
          <w:szCs w:val="22"/>
        </w:rPr>
        <w:t xml:space="preserve">5.1 Structure d'une classe</w:t>
      </w:r>
    </w:p>
    <w:p>
      <w:pPr>
        <w:spacing w:after="160" w:line="276"/>
        <w:jc w:val="left"/>
      </w:pPr>
      <w:r>
        <w:rPr>
          <w:sz w:val="22"/>
          <w:szCs w:val="22"/>
        </w:rPr>
        <w:t xml:space="preserve">Une classe est représentée par un rectangle à trois compartiments : le nom (en italique si la classe est abstraite), les propriétés (attributs, hors propriétés « objet »), et les méthodes. Chaque membre est précédé d'un symbole de portée : « - » pour privé, « + » pour public, « # » pour protégé.</w:t>
      </w:r>
    </w:p>
    <w:p>
      <w:pPr>
        <w:pStyle w:val="Heading3"/>
        <w:spacing w:after="100" w:before="200"/>
      </w:pPr>
      <w:r>
        <w:rPr>
          <w:b/>
          <w:bCs/>
          <w:i/>
          <w:iCs/>
          <w:color w:val="404040"/>
          <w:sz w:val="22"/>
          <w:szCs w:val="22"/>
        </w:rPr>
        <w:t xml:space="preserve">5.2 Les types de liens entre classes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Lien</w:t>
            </w:r>
          </w:p>
        </w:tc>
        <w:tc>
          <w:tcPr>
            <w:tcW w:type="dxa" w:w="2400"/>
            <w:shd w:fill="1F3864" w:val="clear"/>
            <w:tcMar>
              <w:top w:type="dxa" w:w="80"/>
              <w:left w:type="dxa" w:w="120"/>
              <w:bottom w:type="dxa" w:w="80"/>
              <w:right w:type="dxa" w:w="120"/>
            </w:tcMar>
          </w:tcPr>
          <w:p>
            <w:r>
              <w:rPr>
                <w:b/>
                <w:bCs/>
                <w:color w:val="FFFFFF"/>
                <w:sz w:val="20"/>
                <w:szCs w:val="20"/>
              </w:rPr>
              <w:t xml:space="preserve">Symbole</w:t>
            </w:r>
          </w:p>
        </w:tc>
        <w:tc>
          <w:tcPr>
            <w:tcW w:type="dxa" w:w="4550"/>
            <w:shd w:fill="1F3864" w:val="clear"/>
            <w:tcMar>
              <w:top w:type="dxa" w:w="80"/>
              <w:left w:type="dxa" w:w="120"/>
              <w:bottom w:type="dxa" w:w="80"/>
              <w:right w:type="dxa" w:w="120"/>
            </w:tcMar>
          </w:tcPr>
          <w:p>
            <w:r>
              <w:rPr>
                <w:b/>
                <w:bCs/>
                <w:color w:val="FFFFFF"/>
                <w:sz w:val="20"/>
                <w:szCs w:val="20"/>
              </w:rPr>
              <w:t xml:space="preserve">Signification</w:t>
            </w:r>
          </w:p>
        </w:tc>
      </w:tr>
      <w:tr>
        <w:tc>
          <w:tcPr>
            <w:tcW w:type="dxa" w:w="2400"/>
            <w:tcMar>
              <w:top w:type="dxa" w:w="80"/>
              <w:left w:type="dxa" w:w="120"/>
              <w:bottom w:type="dxa" w:w="80"/>
              <w:right w:type="dxa" w:w="120"/>
            </w:tcMar>
          </w:tcPr>
          <w:p>
            <w:r>
              <w:rPr>
                <w:b w:val="false"/>
                <w:bCs w:val="false"/>
                <w:color w:val="000000"/>
                <w:sz w:val="20"/>
                <w:szCs w:val="20"/>
              </w:rPr>
              <w:t xml:space="preserve">Association non porteuse</w:t>
            </w:r>
          </w:p>
        </w:tc>
        <w:tc>
          <w:tcPr>
            <w:tcW w:type="dxa" w:w="2400"/>
            <w:tcMar>
              <w:top w:type="dxa" w:w="80"/>
              <w:left w:type="dxa" w:w="120"/>
              <w:bottom w:type="dxa" w:w="80"/>
              <w:right w:type="dxa" w:w="120"/>
            </w:tcMar>
          </w:tcPr>
          <w:p>
            <w:r>
              <w:rPr>
                <w:b w:val="false"/>
                <w:bCs w:val="false"/>
                <w:color w:val="000000"/>
                <w:sz w:val="20"/>
                <w:szCs w:val="20"/>
              </w:rPr>
              <w:t xml:space="preserve">Trait simple</w:t>
            </w:r>
          </w:p>
        </w:tc>
        <w:tc>
          <w:tcPr>
            <w:tcW w:type="dxa" w:w="4550"/>
            <w:tcMar>
              <w:top w:type="dxa" w:w="80"/>
              <w:left w:type="dxa" w:w="120"/>
              <w:bottom w:type="dxa" w:w="80"/>
              <w:right w:type="dxa" w:w="120"/>
            </w:tcMar>
          </w:tcPr>
          <w:p>
            <w:r>
              <w:rPr>
                <w:b w:val="false"/>
                <w:bCs w:val="false"/>
                <w:color w:val="000000"/>
                <w:sz w:val="20"/>
                <w:szCs w:val="20"/>
              </w:rPr>
              <w:t xml:space="preserve">Simple relation entre deux classes</w:t>
            </w:r>
          </w:p>
        </w:tc>
      </w:tr>
      <w:tr>
        <w:tc>
          <w:tcPr>
            <w:tcW w:type="dxa" w:w="2400"/>
            <w:tcMar>
              <w:top w:type="dxa" w:w="80"/>
              <w:left w:type="dxa" w:w="120"/>
              <w:bottom w:type="dxa" w:w="80"/>
              <w:right w:type="dxa" w:w="120"/>
            </w:tcMar>
          </w:tcPr>
          <w:p>
            <w:r>
              <w:rPr>
                <w:b w:val="false"/>
                <w:bCs w:val="false"/>
                <w:color w:val="000000"/>
                <w:sz w:val="20"/>
                <w:szCs w:val="20"/>
              </w:rPr>
              <w:t xml:space="preserve">Association porteuse</w:t>
            </w:r>
          </w:p>
        </w:tc>
        <w:tc>
          <w:tcPr>
            <w:tcW w:type="dxa" w:w="2400"/>
            <w:tcMar>
              <w:top w:type="dxa" w:w="80"/>
              <w:left w:type="dxa" w:w="120"/>
              <w:bottom w:type="dxa" w:w="80"/>
              <w:right w:type="dxa" w:w="120"/>
            </w:tcMar>
          </w:tcPr>
          <w:p>
            <w:r>
              <w:rPr>
                <w:b w:val="false"/>
                <w:bCs w:val="false"/>
                <w:color w:val="000000"/>
                <w:sz w:val="20"/>
                <w:szCs w:val="20"/>
              </w:rPr>
              <w:t xml:space="preserve">Trait pointillé</w:t>
            </w:r>
          </w:p>
        </w:tc>
        <w:tc>
          <w:tcPr>
            <w:tcW w:type="dxa" w:w="4550"/>
            <w:tcMar>
              <w:top w:type="dxa" w:w="80"/>
              <w:left w:type="dxa" w:w="120"/>
              <w:bottom w:type="dxa" w:w="80"/>
              <w:right w:type="dxa" w:w="120"/>
            </w:tcMar>
          </w:tcPr>
          <w:p>
            <w:r>
              <w:rPr>
                <w:b w:val="false"/>
                <w:bCs w:val="false"/>
                <w:color w:val="000000"/>
                <w:sz w:val="20"/>
                <w:szCs w:val="20"/>
              </w:rPr>
              <w:t xml:space="preserve">Association qui porte elle-même des attributs (classe-association)</w:t>
            </w:r>
          </w:p>
        </w:tc>
      </w:tr>
      <w:tr>
        <w:tc>
          <w:tcPr>
            <w:tcW w:type="dxa" w:w="2400"/>
            <w:tcMar>
              <w:top w:type="dxa" w:w="80"/>
              <w:left w:type="dxa" w:w="120"/>
              <w:bottom w:type="dxa" w:w="80"/>
              <w:right w:type="dxa" w:w="120"/>
            </w:tcMar>
          </w:tcPr>
          <w:p>
            <w:r>
              <w:rPr>
                <w:b w:val="false"/>
                <w:bCs w:val="false"/>
                <w:color w:val="000000"/>
                <w:sz w:val="20"/>
                <w:szCs w:val="20"/>
              </w:rPr>
              <w:t xml:space="preserve">Association à + de 2 liens</w:t>
            </w:r>
          </w:p>
        </w:tc>
        <w:tc>
          <w:tcPr>
            <w:tcW w:type="dxa" w:w="2400"/>
            <w:tcMar>
              <w:top w:type="dxa" w:w="80"/>
              <w:left w:type="dxa" w:w="120"/>
              <w:bottom w:type="dxa" w:w="80"/>
              <w:right w:type="dxa" w:w="120"/>
            </w:tcMar>
          </w:tcPr>
          <w:p>
            <w:r>
              <w:rPr>
                <w:b w:val="false"/>
                <w:bCs w:val="false"/>
                <w:color w:val="000000"/>
                <w:sz w:val="20"/>
                <w:szCs w:val="20"/>
              </w:rPr>
              <w:t xml:space="preserve">Losange vide avec plusieurs branches</w:t>
            </w:r>
          </w:p>
        </w:tc>
        <w:tc>
          <w:tcPr>
            <w:tcW w:type="dxa" w:w="4550"/>
            <w:tcMar>
              <w:top w:type="dxa" w:w="80"/>
              <w:left w:type="dxa" w:w="120"/>
              <w:bottom w:type="dxa" w:w="80"/>
              <w:right w:type="dxa" w:w="120"/>
            </w:tcMar>
          </w:tcPr>
          <w:p>
            <w:r>
              <w:rPr>
                <w:b w:val="false"/>
                <w:bCs w:val="false"/>
                <w:color w:val="000000"/>
                <w:sz w:val="20"/>
                <w:szCs w:val="20"/>
              </w:rPr>
              <w:t xml:space="preserve">Relation impliquant plus de deux classes</w:t>
            </w:r>
          </w:p>
        </w:tc>
      </w:tr>
      <w:tr>
        <w:tc>
          <w:tcPr>
            <w:tcW w:type="dxa" w:w="2400"/>
            <w:tcMar>
              <w:top w:type="dxa" w:w="80"/>
              <w:left w:type="dxa" w:w="120"/>
              <w:bottom w:type="dxa" w:w="80"/>
              <w:right w:type="dxa" w:w="120"/>
            </w:tcMar>
          </w:tcPr>
          <w:p>
            <w:r>
              <w:rPr>
                <w:b w:val="false"/>
                <w:bCs w:val="false"/>
                <w:color w:val="000000"/>
                <w:sz w:val="20"/>
                <w:szCs w:val="20"/>
              </w:rPr>
              <w:t xml:space="preserve">Agrégation</w:t>
            </w:r>
          </w:p>
        </w:tc>
        <w:tc>
          <w:tcPr>
            <w:tcW w:type="dxa" w:w="2400"/>
            <w:tcMar>
              <w:top w:type="dxa" w:w="80"/>
              <w:left w:type="dxa" w:w="120"/>
              <w:bottom w:type="dxa" w:w="80"/>
              <w:right w:type="dxa" w:w="120"/>
            </w:tcMar>
          </w:tcPr>
          <w:p>
            <w:r>
              <w:rPr>
                <w:b w:val="false"/>
                <w:bCs w:val="false"/>
                <w:color w:val="000000"/>
                <w:sz w:val="20"/>
                <w:szCs w:val="20"/>
              </w:rPr>
              <w:t xml:space="preserve">Losange vide</w:t>
            </w:r>
          </w:p>
        </w:tc>
        <w:tc>
          <w:tcPr>
            <w:tcW w:type="dxa" w:w="4550"/>
            <w:tcMar>
              <w:top w:type="dxa" w:w="80"/>
              <w:left w:type="dxa" w:w="120"/>
              <w:bottom w:type="dxa" w:w="80"/>
              <w:right w:type="dxa" w:w="120"/>
            </w:tcMar>
          </w:tcPr>
          <w:p>
            <w:r>
              <w:rPr>
                <w:b w:val="false"/>
                <w:bCs w:val="false"/>
                <w:color w:val="000000"/>
                <w:sz w:val="20"/>
                <w:szCs w:val="20"/>
              </w:rPr>
              <w:t xml:space="preserve">Lien « possède » faible : les objets liés existent indépendamment</w:t>
            </w:r>
          </w:p>
        </w:tc>
      </w:tr>
      <w:tr>
        <w:tc>
          <w:tcPr>
            <w:tcW w:type="dxa" w:w="2400"/>
            <w:tcMar>
              <w:top w:type="dxa" w:w="80"/>
              <w:left w:type="dxa" w:w="120"/>
              <w:bottom w:type="dxa" w:w="80"/>
              <w:right w:type="dxa" w:w="120"/>
            </w:tcMar>
          </w:tcPr>
          <w:p>
            <w:r>
              <w:rPr>
                <w:b w:val="false"/>
                <w:bCs w:val="false"/>
                <w:color w:val="000000"/>
                <w:sz w:val="20"/>
                <w:szCs w:val="20"/>
              </w:rPr>
              <w:t xml:space="preserve">Composition</w:t>
            </w:r>
          </w:p>
        </w:tc>
        <w:tc>
          <w:tcPr>
            <w:tcW w:type="dxa" w:w="2400"/>
            <w:tcMar>
              <w:top w:type="dxa" w:w="80"/>
              <w:left w:type="dxa" w:w="120"/>
              <w:bottom w:type="dxa" w:w="80"/>
              <w:right w:type="dxa" w:w="120"/>
            </w:tcMar>
          </w:tcPr>
          <w:p>
            <w:r>
              <w:rPr>
                <w:b w:val="false"/>
                <w:bCs w:val="false"/>
                <w:color w:val="000000"/>
                <w:sz w:val="20"/>
                <w:szCs w:val="20"/>
              </w:rPr>
              <w:t xml:space="preserve">Losange plein</w:t>
            </w:r>
          </w:p>
        </w:tc>
        <w:tc>
          <w:tcPr>
            <w:tcW w:type="dxa" w:w="4550"/>
            <w:tcMar>
              <w:top w:type="dxa" w:w="80"/>
              <w:left w:type="dxa" w:w="120"/>
              <w:bottom w:type="dxa" w:w="80"/>
              <w:right w:type="dxa" w:w="120"/>
            </w:tcMar>
          </w:tcPr>
          <w:p>
            <w:r>
              <w:rPr>
                <w:b w:val="false"/>
                <w:bCs w:val="false"/>
                <w:color w:val="000000"/>
                <w:sz w:val="20"/>
                <w:szCs w:val="20"/>
              </w:rPr>
              <w:t xml:space="preserve">Lien fort (agrégation forte) : la suppression du tout supprime les parties</w:t>
            </w:r>
          </w:p>
        </w:tc>
      </w:tr>
      <w:tr>
        <w:tc>
          <w:tcPr>
            <w:tcW w:type="dxa" w:w="2400"/>
            <w:tcMar>
              <w:top w:type="dxa" w:w="80"/>
              <w:left w:type="dxa" w:w="120"/>
              <w:bottom w:type="dxa" w:w="80"/>
              <w:right w:type="dxa" w:w="120"/>
            </w:tcMar>
          </w:tcPr>
          <w:p>
            <w:r>
              <w:rPr>
                <w:b w:val="false"/>
                <w:bCs w:val="false"/>
                <w:color w:val="000000"/>
                <w:sz w:val="20"/>
                <w:szCs w:val="20"/>
              </w:rPr>
              <w:t xml:space="preserve">Spécialisation (héritage)</w:t>
            </w:r>
          </w:p>
        </w:tc>
        <w:tc>
          <w:tcPr>
            <w:tcW w:type="dxa" w:w="2400"/>
            <w:tcMar>
              <w:top w:type="dxa" w:w="80"/>
              <w:left w:type="dxa" w:w="120"/>
              <w:bottom w:type="dxa" w:w="80"/>
              <w:right w:type="dxa" w:w="120"/>
            </w:tcMar>
          </w:tcPr>
          <w:p>
            <w:r>
              <w:rPr>
                <w:b w:val="false"/>
                <w:bCs w:val="false"/>
                <w:color w:val="000000"/>
                <w:sz w:val="20"/>
                <w:szCs w:val="20"/>
              </w:rPr>
              <w:t xml:space="preserve">Flèche pleine triangulaire</w:t>
            </w:r>
          </w:p>
        </w:tc>
        <w:tc>
          <w:tcPr>
            <w:tcW w:type="dxa" w:w="4550"/>
            <w:tcMar>
              <w:top w:type="dxa" w:w="80"/>
              <w:left w:type="dxa" w:w="120"/>
              <w:bottom w:type="dxa" w:w="80"/>
              <w:right w:type="dxa" w:w="120"/>
            </w:tcMar>
          </w:tcPr>
          <w:p>
            <w:r>
              <w:rPr>
                <w:b w:val="false"/>
                <w:bCs w:val="false"/>
                <w:color w:val="000000"/>
                <w:sz w:val="20"/>
                <w:szCs w:val="20"/>
              </w:rPr>
              <w:t xml:space="preserve">Une classe hérite des attributs/méthodes d'une autre</w:t>
            </w:r>
          </w:p>
        </w:tc>
      </w:tr>
    </w:tbl>
    <w:p>
      <w:pPr>
        <w:spacing w:after="100"/>
      </w:pPr>
    </w:p>
    <w:p>
      <w:pPr>
        <w:spacing w:after="160" w:line="276"/>
        <w:jc w:val="both"/>
      </w:pPr>
      <w:r>
        <w:rPr>
          <w:sz w:val="22"/>
          <w:szCs w:val="22"/>
        </w:rPr>
        <w:t xml:space="preserve">Les multiplicités (1, 0..1, 0..*, 1..*) indiquent le nombre d'instances impliquées de chaque côté du lien ; elles sont inversées par rapport à la notation Merise, ce qui est un point de vigilance important quand on connaît déjà Merise.</w:t>
      </w:r>
    </w:p>
    <w:p>
      <w:pPr>
        <w:pStyle w:val="Heading3"/>
        <w:spacing w:after="100" w:before="200"/>
      </w:pPr>
      <w:r>
        <w:rPr>
          <w:b/>
          <w:bCs/>
          <w:i/>
          <w:iCs/>
          <w:color w:val="404040"/>
          <w:sz w:val="22"/>
          <w:szCs w:val="22"/>
        </w:rPr>
        <w:t xml:space="preserve">5.3 Exercice traité : Commune / Secteur / Compteur / Branchement</w:t>
      </w:r>
    </w:p>
    <w:p>
      <w:pPr>
        <w:spacing w:after="160" w:line="276"/>
        <w:jc w:val="both"/>
      </w:pPr>
      <w:r>
        <w:rPr>
          <w:sz w:val="22"/>
          <w:szCs w:val="22"/>
        </w:rPr>
        <w:t xml:space="preserve">Le support propose un exercice de transformation d'un pseudo-code (classes avec attributs privés et méthodes publiques) en diagramme UML. Cet exercice m'a permis de comprendre concrètement comment un attribut de type « Collection de X » se traduit par une association avec une multiplicité « * » côté X, et comment l'héritage (« Classe Usager hérite de Branchement ») se représente par une flèche triangulaire pleine vers la classe mère.</w:t>
      </w:r>
    </w:p>
    <w:p>
      <w:pPr>
        <w:pStyle w:val="Heading3"/>
        <w:spacing w:after="100" w:before="200"/>
      </w:pPr>
      <w:r>
        <w:rPr>
          <w:b/>
          <w:bCs/>
          <w:i/>
          <w:iCs/>
          <w:color w:val="404040"/>
          <w:sz w:val="22"/>
          <w:szCs w:val="22"/>
        </w:rPr>
        <w:t xml:space="preserve">5.4 Application au projet « Gestion des Notes »</w:t>
      </w:r>
    </w:p>
    <w:p>
      <w:pPr>
        <w:spacing w:after="160" w:line="276"/>
        <w:jc w:val="both"/>
      </w:pPr>
      <w:r>
        <w:rPr>
          <w:sz w:val="22"/>
          <w:szCs w:val="22"/>
        </w:rPr>
        <w:t xml:space="preserve">Le recueil des besoins du projet a déjà permis d'identifier les entités suivantes, organisées en trois familles, qui serviront de base au diagramme de classes puis au MCD :</w:t>
      </w:r>
    </w:p>
    <w:p>
      <w:pPr>
        <w:pStyle w:val="ListParagraph"/>
        <w:numPr>
          <w:ilvl w:val="0"/>
          <w:numId w:val="2"/>
        </w:numPr>
        <w:spacing w:after="90"/>
      </w:pPr>
      <w:r>
        <w:rPr>
          <w:sz w:val="22"/>
          <w:szCs w:val="22"/>
        </w:rPr>
        <w:t xml:space="preserve">Structure académique : Université, Faculté, Département, Filière, Niveau, Classe.</w:t>
      </w:r>
    </w:p>
    <w:p>
      <w:pPr>
        <w:pStyle w:val="ListParagraph"/>
        <w:numPr>
          <w:ilvl w:val="0"/>
          <w:numId w:val="2"/>
        </w:numPr>
        <w:spacing w:after="90"/>
      </w:pPr>
      <w:r>
        <w:rPr>
          <w:sz w:val="22"/>
          <w:szCs w:val="22"/>
        </w:rPr>
        <w:t xml:space="preserve">Pédagogie : UE, Matière (EC).</w:t>
      </w:r>
    </w:p>
    <w:p>
      <w:pPr>
        <w:pStyle w:val="ListParagraph"/>
        <w:numPr>
          <w:ilvl w:val="0"/>
          <w:numId w:val="2"/>
        </w:numPr>
        <w:spacing w:after="90"/>
      </w:pPr>
      <w:r>
        <w:rPr>
          <w:sz w:val="22"/>
          <w:szCs w:val="22"/>
        </w:rPr>
        <w:t xml:space="preserve">Acteurs et évaluation : Enseignant, Étudiant, Inscription, Note, Requête, Bulletin.</w:t>
      </w:r>
    </w:p>
    <w:p>
      <w:pPr>
        <w:spacing w:after="160" w:line="276"/>
        <w:jc w:val="both"/>
      </w:pPr>
      <w:r>
        <w:rPr>
          <w:sz w:val="22"/>
          <w:szCs w:val="22"/>
        </w:rPr>
        <w:t xml:space="preserve">Par exemple, le lien entre Matière et UE est une composition (une matière n'a pas de sens sans son UE), tandis que le lien entre Enseignant et Matière est une simple association porteuse (une même association « ENSEIGNANT — MATIÈRE » existe indépendamment des deux classes).</w:t>
      </w:r>
    </w:p>
    <w:p>
      <w:pPr>
        <w:pStyle w:val="Heading1"/>
        <w:pBdr>
          <w:bottom w:val="single" w:color="1F3864" w:sz="6" w:space="4"/>
        </w:pBdr>
        <w:spacing w:after="200" w:before="400"/>
      </w:pPr>
      <w:r>
        <w:rPr>
          <w:b/>
          <w:bCs/>
          <w:color w:val="1F3864"/>
          <w:sz w:val="30"/>
          <w:szCs w:val="30"/>
        </w:rPr>
        <w:t xml:space="preserve">6. Le diagramme d'états</w:t>
      </w:r>
    </w:p>
    <w:p>
      <w:pPr>
        <w:spacing w:after="160" w:line="276"/>
        <w:jc w:val="both"/>
      </w:pPr>
      <w:r>
        <w:rPr>
          <w:sz w:val="22"/>
          <w:szCs w:val="22"/>
        </w:rPr>
        <w:t xml:space="preserve">Ce diagramme ne concerne qu'un seul objet (une instance) et représente les différents états qu'il peut prendre au cours de sa vie, ainsi que les transitions (actions ou conditions) qui font passer d'un état à un autre.</w:t>
      </w:r>
    </w:p>
    <w:p>
      <w:pPr>
        <w:pStyle w:val="Heading3"/>
        <w:spacing w:after="100" w:before="200"/>
      </w:pPr>
      <w:r>
        <w:rPr>
          <w:b/>
          <w:bCs/>
          <w:i/>
          <w:iCs/>
          <w:color w:val="404040"/>
          <w:sz w:val="22"/>
          <w:szCs w:val="22"/>
        </w:rPr>
        <w:t xml:space="preserve">6.1 Syntaxe</w:t>
      </w:r>
    </w:p>
    <w:p>
      <w:pPr>
        <w:pStyle w:val="ListParagraph"/>
        <w:numPr>
          <w:ilvl w:val="0"/>
          <w:numId w:val="2"/>
        </w:numPr>
        <w:spacing w:after="90"/>
      </w:pPr>
      <w:r>
        <w:rPr>
          <w:sz w:val="22"/>
          <w:szCs w:val="22"/>
        </w:rPr>
        <w:t xml:space="preserve">État initial : cercle plein noir.</w:t>
      </w:r>
    </w:p>
    <w:p>
      <w:pPr>
        <w:pStyle w:val="ListParagraph"/>
        <w:numPr>
          <w:ilvl w:val="0"/>
          <w:numId w:val="2"/>
        </w:numPr>
        <w:spacing w:after="90"/>
      </w:pPr>
      <w:r>
        <w:rPr>
          <w:sz w:val="22"/>
          <w:szCs w:val="22"/>
        </w:rPr>
        <w:t xml:space="preserve">État final : cercle noir entouré d'un anneau.</w:t>
      </w:r>
    </w:p>
    <w:p>
      <w:pPr>
        <w:pStyle w:val="ListParagraph"/>
        <w:numPr>
          <w:ilvl w:val="0"/>
          <w:numId w:val="2"/>
        </w:numPr>
        <w:spacing w:after="90"/>
      </w:pPr>
      <w:r>
        <w:rPr>
          <w:sz w:val="22"/>
          <w:szCs w:val="22"/>
        </w:rPr>
        <w:t xml:space="preserve">État transitoire : rectangle à coins arrondis.</w:t>
      </w:r>
    </w:p>
    <w:p>
      <w:pPr>
        <w:pStyle w:val="ListParagraph"/>
        <w:numPr>
          <w:ilvl w:val="0"/>
          <w:numId w:val="2"/>
        </w:numPr>
        <w:spacing w:after="90"/>
      </w:pPr>
      <w:r>
        <w:rPr>
          <w:sz w:val="22"/>
          <w:szCs w:val="22"/>
        </w:rPr>
        <w:t xml:space="preserve">Transition : flèche, annotée par une action (ex. « création ») ou une condition entre crochets (ex. « [vie = 0] »).</w:t>
      </w:r>
    </w:p>
    <w:p>
      <w:pPr>
        <w:pStyle w:val="Heading3"/>
        <w:spacing w:after="100" w:before="200"/>
      </w:pPr>
      <w:r>
        <w:rPr>
          <w:b/>
          <w:bCs/>
          <w:i/>
          <w:iCs/>
          <w:color w:val="404040"/>
          <w:sz w:val="22"/>
          <w:szCs w:val="22"/>
        </w:rPr>
        <w:t xml:space="preserve">6.2 Application au projet « Gestion des Notes »</w:t>
      </w:r>
    </w:p>
    <w:p>
      <w:pPr>
        <w:spacing w:after="160" w:line="276"/>
        <w:jc w:val="both"/>
      </w:pPr>
      <w:r>
        <w:rPr>
          <w:sz w:val="22"/>
          <w:szCs w:val="22"/>
        </w:rPr>
        <w:t xml:space="preserve">Ce diagramme est particulièrement pertinent pour modéliser le cycle de vie d'une Requête : « soumise » → « en cours de traitement » → « traitée / rejetée », ou celui d'une Note : « en attente de saisie » → « saisie » → « numérisée » → « vérifiée » → « publiée », avec un retour possible vers « saisie » en cas de correction suite à une requête étudiante.</w:t>
      </w:r>
    </w:p>
    <w:p>
      <w:pPr>
        <w:pStyle w:val="Heading1"/>
        <w:pBdr>
          <w:bottom w:val="single" w:color="1F3864" w:sz="6" w:space="4"/>
        </w:pBdr>
        <w:spacing w:after="200" w:before="400"/>
      </w:pPr>
      <w:r>
        <w:rPr>
          <w:b/>
          <w:bCs/>
          <w:color w:val="1F3864"/>
          <w:sz w:val="30"/>
          <w:szCs w:val="30"/>
        </w:rPr>
        <w:t xml:space="preserve">7. Le diagramme de séquence</w:t>
      </w:r>
    </w:p>
    <w:p>
      <w:pPr>
        <w:spacing w:after="160" w:line="276"/>
        <w:jc w:val="both"/>
      </w:pPr>
      <w:r>
        <w:rPr>
          <w:sz w:val="22"/>
          <w:szCs w:val="22"/>
        </w:rPr>
        <w:t xml:space="preserve">Le diagramme de séquence représente la dimension temporelle des messages échangés entre objets : c'est le cycle de vie d'un ensemble d'objets liés dans un cas d'utilisation donné, et il permet de faire émerger les méthodes publiques de chaque classe.</w:t>
      </w:r>
    </w:p>
    <w:p>
      <w:pPr>
        <w:pStyle w:val="Heading3"/>
        <w:spacing w:after="100" w:before="200"/>
      </w:pPr>
      <w:r>
        <w:rPr>
          <w:b/>
          <w:bCs/>
          <w:i/>
          <w:iCs/>
          <w:color w:val="404040"/>
          <w:sz w:val="22"/>
          <w:szCs w:val="22"/>
        </w:rPr>
        <w:t xml:space="preserve">7.1 Syntaxe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5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Élément</w:t>
            </w:r>
          </w:p>
        </w:tc>
        <w:tc>
          <w:tcPr>
            <w:tcW w:type="dxa" w:w="2600"/>
            <w:shd w:fill="1F3864" w:val="clear"/>
            <w:tcMar>
              <w:top w:type="dxa" w:w="80"/>
              <w:left w:type="dxa" w:w="120"/>
              <w:bottom w:type="dxa" w:w="80"/>
              <w:right w:type="dxa" w:w="120"/>
            </w:tcMar>
          </w:tcPr>
          <w:p>
            <w:r>
              <w:rPr>
                <w:b/>
                <w:bCs/>
                <w:color w:val="FFFFFF"/>
                <w:sz w:val="20"/>
                <w:szCs w:val="20"/>
              </w:rPr>
              <w:t xml:space="preserve">Notation</w:t>
            </w:r>
          </w:p>
        </w:tc>
        <w:tc>
          <w:tcPr>
            <w:tcW w:type="dxa" w:w="4350"/>
            <w:shd w:fill="1F3864" w:val="clear"/>
            <w:tcMar>
              <w:top w:type="dxa" w:w="80"/>
              <w:left w:type="dxa" w:w="120"/>
              <w:bottom w:type="dxa" w:w="80"/>
              <w:right w:type="dxa" w:w="120"/>
            </w:tcMar>
          </w:tcPr>
          <w:p>
            <w:r>
              <w:rPr>
                <w:b/>
                <w:bCs/>
                <w:color w:val="FFFFFF"/>
                <w:sz w:val="20"/>
                <w:szCs w:val="20"/>
              </w:rPr>
              <w:t xml:space="preserve">Rôle</w:t>
            </w:r>
          </w:p>
        </w:tc>
      </w:tr>
      <w:tr>
        <w:tc>
          <w:tcPr>
            <w:tcW w:type="dxa" w:w="2400"/>
            <w:tcMar>
              <w:top w:type="dxa" w:w="80"/>
              <w:left w:type="dxa" w:w="120"/>
              <w:bottom w:type="dxa" w:w="80"/>
              <w:right w:type="dxa" w:w="120"/>
            </w:tcMar>
          </w:tcPr>
          <w:p>
            <w:r>
              <w:rPr>
                <w:b w:val="false"/>
                <w:bCs w:val="false"/>
                <w:color w:val="000000"/>
                <w:sz w:val="20"/>
                <w:szCs w:val="20"/>
              </w:rPr>
              <w:t xml:space="preserve">Ligne de vie</w:t>
            </w:r>
          </w:p>
        </w:tc>
        <w:tc>
          <w:tcPr>
            <w:tcW w:type="dxa" w:w="2600"/>
            <w:tcMar>
              <w:top w:type="dxa" w:w="80"/>
              <w:left w:type="dxa" w:w="120"/>
              <w:bottom w:type="dxa" w:w="80"/>
              <w:right w:type="dxa" w:w="120"/>
            </w:tcMar>
          </w:tcPr>
          <w:p>
            <w:r>
              <w:rPr>
                <w:b w:val="false"/>
                <w:bCs w:val="false"/>
                <w:color w:val="000000"/>
                <w:sz w:val="20"/>
                <w:szCs w:val="20"/>
              </w:rPr>
              <w:t xml:space="preserve">Trait pointillé vertical</w:t>
            </w:r>
          </w:p>
        </w:tc>
        <w:tc>
          <w:tcPr>
            <w:tcW w:type="dxa" w:w="4350"/>
            <w:tcMar>
              <w:top w:type="dxa" w:w="80"/>
              <w:left w:type="dxa" w:w="120"/>
              <w:bottom w:type="dxa" w:w="80"/>
              <w:right w:type="dxa" w:w="120"/>
            </w:tcMar>
          </w:tcPr>
          <w:p>
            <w:r>
              <w:rPr>
                <w:b w:val="false"/>
                <w:bCs w:val="false"/>
                <w:color w:val="000000"/>
                <w:sz w:val="20"/>
                <w:szCs w:val="20"/>
              </w:rPr>
              <w:t xml:space="preserve">Existence de l'objet dans le temps</w:t>
            </w:r>
          </w:p>
        </w:tc>
      </w:tr>
      <w:tr>
        <w:tc>
          <w:tcPr>
            <w:tcW w:type="dxa" w:w="2400"/>
            <w:tcMar>
              <w:top w:type="dxa" w:w="80"/>
              <w:left w:type="dxa" w:w="120"/>
              <w:bottom w:type="dxa" w:w="80"/>
              <w:right w:type="dxa" w:w="120"/>
            </w:tcMar>
          </w:tcPr>
          <w:p>
            <w:r>
              <w:rPr>
                <w:b w:val="false"/>
                <w:bCs w:val="false"/>
                <w:color w:val="000000"/>
                <w:sz w:val="20"/>
                <w:szCs w:val="20"/>
              </w:rPr>
              <w:t xml:space="preserve">Zone de sollicitation</w:t>
            </w:r>
          </w:p>
        </w:tc>
        <w:tc>
          <w:tcPr>
            <w:tcW w:type="dxa" w:w="2600"/>
            <w:tcMar>
              <w:top w:type="dxa" w:w="80"/>
              <w:left w:type="dxa" w:w="120"/>
              <w:bottom w:type="dxa" w:w="80"/>
              <w:right w:type="dxa" w:w="120"/>
            </w:tcMar>
          </w:tcPr>
          <w:p>
            <w:r>
              <w:rPr>
                <w:b w:val="false"/>
                <w:bCs w:val="false"/>
                <w:color w:val="000000"/>
                <w:sz w:val="20"/>
                <w:szCs w:val="20"/>
              </w:rPr>
              <w:t xml:space="preserve">Rectangle vertical fin</w:t>
            </w:r>
          </w:p>
        </w:tc>
        <w:tc>
          <w:tcPr>
            <w:tcW w:type="dxa" w:w="4350"/>
            <w:tcMar>
              <w:top w:type="dxa" w:w="80"/>
              <w:left w:type="dxa" w:w="120"/>
              <w:bottom w:type="dxa" w:w="80"/>
              <w:right w:type="dxa" w:w="120"/>
            </w:tcMar>
          </w:tcPr>
          <w:p>
            <w:r>
              <w:rPr>
                <w:b w:val="false"/>
                <w:bCs w:val="false"/>
                <w:color w:val="000000"/>
                <w:sz w:val="20"/>
                <w:szCs w:val="20"/>
              </w:rPr>
              <w:t xml:space="preserve">Période où l'objet est actif / traite un appel</w:t>
            </w:r>
          </w:p>
        </w:tc>
      </w:tr>
      <w:tr>
        <w:tc>
          <w:tcPr>
            <w:tcW w:type="dxa" w:w="2400"/>
            <w:tcMar>
              <w:top w:type="dxa" w:w="80"/>
              <w:left w:type="dxa" w:w="120"/>
              <w:bottom w:type="dxa" w:w="80"/>
              <w:right w:type="dxa" w:w="120"/>
            </w:tcMar>
          </w:tcPr>
          <w:p>
            <w:r>
              <w:rPr>
                <w:b w:val="false"/>
                <w:bCs w:val="false"/>
                <w:color w:val="000000"/>
                <w:sz w:val="20"/>
                <w:szCs w:val="20"/>
              </w:rPr>
              <w:t xml:space="preserve">Message</w:t>
            </w:r>
          </w:p>
        </w:tc>
        <w:tc>
          <w:tcPr>
            <w:tcW w:type="dxa" w:w="2600"/>
            <w:tcMar>
              <w:top w:type="dxa" w:w="80"/>
              <w:left w:type="dxa" w:w="120"/>
              <w:bottom w:type="dxa" w:w="80"/>
              <w:right w:type="dxa" w:w="120"/>
            </w:tcMar>
          </w:tcPr>
          <w:p>
            <w:r>
              <w:rPr>
                <w:b w:val="false"/>
                <w:bCs w:val="false"/>
                <w:color w:val="000000"/>
                <w:sz w:val="20"/>
                <w:szCs w:val="20"/>
              </w:rPr>
              <w:t xml:space="preserve">Flèche pleine</w:t>
            </w:r>
          </w:p>
        </w:tc>
        <w:tc>
          <w:tcPr>
            <w:tcW w:type="dxa" w:w="4350"/>
            <w:tcMar>
              <w:top w:type="dxa" w:w="80"/>
              <w:left w:type="dxa" w:w="120"/>
              <w:bottom w:type="dxa" w:w="80"/>
              <w:right w:type="dxa" w:w="120"/>
            </w:tcMar>
          </w:tcPr>
          <w:p>
            <w:r>
              <w:rPr>
                <w:b w:val="false"/>
                <w:bCs w:val="false"/>
                <w:color w:val="000000"/>
                <w:sz w:val="20"/>
                <w:szCs w:val="20"/>
              </w:rPr>
              <w:t xml:space="preserve">Appel d'une méthode d'un objet vers un autre</w:t>
            </w:r>
          </w:p>
        </w:tc>
      </w:tr>
      <w:tr>
        <w:tc>
          <w:tcPr>
            <w:tcW w:type="dxa" w:w="2400"/>
            <w:tcMar>
              <w:top w:type="dxa" w:w="80"/>
              <w:left w:type="dxa" w:w="120"/>
              <w:bottom w:type="dxa" w:w="80"/>
              <w:right w:type="dxa" w:w="120"/>
            </w:tcMar>
          </w:tcPr>
          <w:p>
            <w:r>
              <w:rPr>
                <w:b w:val="false"/>
                <w:bCs w:val="false"/>
                <w:color w:val="000000"/>
                <w:sz w:val="20"/>
                <w:szCs w:val="20"/>
              </w:rPr>
              <w:t xml:space="preserve">Réponse</w:t>
            </w:r>
          </w:p>
        </w:tc>
        <w:tc>
          <w:tcPr>
            <w:tcW w:type="dxa" w:w="2600"/>
            <w:tcMar>
              <w:top w:type="dxa" w:w="80"/>
              <w:left w:type="dxa" w:w="120"/>
              <w:bottom w:type="dxa" w:w="80"/>
              <w:right w:type="dxa" w:w="120"/>
            </w:tcMar>
          </w:tcPr>
          <w:p>
            <w:r>
              <w:rPr>
                <w:b w:val="false"/>
                <w:bCs w:val="false"/>
                <w:color w:val="000000"/>
                <w:sz w:val="20"/>
                <w:szCs w:val="20"/>
              </w:rPr>
              <w:t xml:space="preserve">Flèche pointillée</w:t>
            </w:r>
          </w:p>
        </w:tc>
        <w:tc>
          <w:tcPr>
            <w:tcW w:type="dxa" w:w="4350"/>
            <w:tcMar>
              <w:top w:type="dxa" w:w="80"/>
              <w:left w:type="dxa" w:w="120"/>
              <w:bottom w:type="dxa" w:w="80"/>
              <w:right w:type="dxa" w:w="120"/>
            </w:tcMar>
          </w:tcPr>
          <w:p>
            <w:r>
              <w:rPr>
                <w:b w:val="false"/>
                <w:bCs w:val="false"/>
                <w:color w:val="000000"/>
                <w:sz w:val="20"/>
                <w:szCs w:val="20"/>
              </w:rPr>
              <w:t xml:space="preserve">Retour d'un traitement</w:t>
            </w:r>
          </w:p>
        </w:tc>
      </w:tr>
      <w:tr>
        <w:tc>
          <w:tcPr>
            <w:tcW w:type="dxa" w:w="2400"/>
            <w:tcMar>
              <w:top w:type="dxa" w:w="80"/>
              <w:left w:type="dxa" w:w="120"/>
              <w:bottom w:type="dxa" w:w="80"/>
              <w:right w:type="dxa" w:w="120"/>
            </w:tcMar>
          </w:tcPr>
          <w:p>
            <w:r>
              <w:rPr>
                <w:b w:val="false"/>
                <w:bCs w:val="false"/>
                <w:color w:val="000000"/>
                <w:sz w:val="20"/>
                <w:szCs w:val="20"/>
              </w:rPr>
              <w:t xml:space="preserve">Destruction</w:t>
            </w:r>
          </w:p>
        </w:tc>
        <w:tc>
          <w:tcPr>
            <w:tcW w:type="dxa" w:w="2600"/>
            <w:tcMar>
              <w:top w:type="dxa" w:w="80"/>
              <w:left w:type="dxa" w:w="120"/>
              <w:bottom w:type="dxa" w:w="80"/>
              <w:right w:type="dxa" w:w="120"/>
            </w:tcMar>
          </w:tcPr>
          <w:p>
            <w:r>
              <w:rPr>
                <w:b w:val="false"/>
                <w:bCs w:val="false"/>
                <w:color w:val="000000"/>
                <w:sz w:val="20"/>
                <w:szCs w:val="20"/>
              </w:rPr>
              <w:t xml:space="preserve">Croix « X »</w:t>
            </w:r>
          </w:p>
        </w:tc>
        <w:tc>
          <w:tcPr>
            <w:tcW w:type="dxa" w:w="4350"/>
            <w:tcMar>
              <w:top w:type="dxa" w:w="80"/>
              <w:left w:type="dxa" w:w="120"/>
              <w:bottom w:type="dxa" w:w="80"/>
              <w:right w:type="dxa" w:w="120"/>
            </w:tcMar>
          </w:tcPr>
          <w:p>
            <w:r>
              <w:rPr>
                <w:b w:val="false"/>
                <w:bCs w:val="false"/>
                <w:color w:val="000000"/>
                <w:sz w:val="20"/>
                <w:szCs w:val="20"/>
              </w:rPr>
              <w:t xml:space="preserve">Fin de vie de l'objet</w:t>
            </w:r>
          </w:p>
        </w:tc>
      </w:tr>
    </w:tbl>
    <w:p>
      <w:pPr>
        <w:spacing w:after="100"/>
      </w:pPr>
    </w:p>
    <w:p>
      <w:pPr>
        <w:pStyle w:val="Heading3"/>
        <w:spacing w:after="100" w:before="200"/>
      </w:pPr>
      <w:r>
        <w:rPr>
          <w:b/>
          <w:bCs/>
          <w:i/>
          <w:iCs/>
          <w:color w:val="404040"/>
          <w:sz w:val="22"/>
          <w:szCs w:val="22"/>
        </w:rPr>
        <w:t xml:space="preserve">7.2 Application au projet « Gestion des Notes »</w:t>
      </w:r>
    </w:p>
    <w:p>
      <w:pPr>
        <w:spacing w:after="160" w:line="276"/>
        <w:jc w:val="both"/>
      </w:pPr>
      <w:r>
        <w:rPr>
          <w:sz w:val="22"/>
          <w:szCs w:val="22"/>
        </w:rPr>
        <w:t xml:space="preserve">Le scénario nominal du projet — évaluation et saisie par l'enseignant, transmission à la cellule, numérisation puis vérification, calcul de la MGP et génération des bulletins, publication et consultation par l'étudiant — se prête naturellement à un diagramme de séquence impliquant les objets Enseignant, Agent (Cellule informatique), Note, Bulletin et Étudiant, avec un scénario alternatif de requête en cas de note manquante.</w:t>
      </w:r>
    </w:p>
    <w:p>
      <w:pPr>
        <w:pStyle w:val="Heading1"/>
        <w:pBdr>
          <w:bottom w:val="single" w:color="1F3864" w:sz="6" w:space="4"/>
        </w:pBdr>
        <w:spacing w:after="200" w:before="400"/>
      </w:pPr>
      <w:r>
        <w:rPr>
          <w:b/>
          <w:bCs/>
          <w:color w:val="1F3864"/>
          <w:sz w:val="30"/>
          <w:szCs w:val="30"/>
        </w:rPr>
        <w:t xml:space="preserve">8. Le diagramme d'objets</w:t>
      </w:r>
    </w:p>
    <w:p>
      <w:pPr>
        <w:spacing w:after="160" w:line="276"/>
        <w:jc w:val="both"/>
      </w:pPr>
      <w:r>
        <w:rPr>
          <w:sz w:val="22"/>
          <w:szCs w:val="22"/>
        </w:rPr>
        <w:t xml:space="preserve">Ce diagramme détaille les instances possibles ou obligatoires d'un diagramme de classes, à un instant donné. Il permet de vérifier, avec des exemples concrets (des valeurs d'attributs réelles), que les multiplicités et associations définies dans le diagramme de classes sont cohérentes.</w:t>
      </w:r>
    </w:p>
    <w:p>
      <w:pPr>
        <w:spacing w:after="160" w:line="276"/>
        <w:jc w:val="both"/>
      </w:pPr>
      <w:r>
        <w:rPr>
          <w:sz w:val="22"/>
          <w:szCs w:val="22"/>
        </w:rPr>
        <w:t xml:space="preserve">Appliqué au projet, un diagramme d'objets pourrait par exemple représenter une instance de Classe (« L3 Informatique — année 2025/2026 ») contenant plusieurs instances d'Étudiant, afin de vérifier que la multiplicité de l'association Classe–Étudiant correspond bien à un effectif réaliste.</w:t>
      </w:r>
    </w:p>
    <w:p>
      <w:pPr>
        <w:pStyle w:val="Heading1"/>
        <w:pBdr>
          <w:bottom w:val="single" w:color="1F3864" w:sz="6" w:space="4"/>
        </w:pBdr>
        <w:spacing w:after="200" w:before="400"/>
      </w:pPr>
      <w:r>
        <w:rPr>
          <w:b/>
          <w:bCs/>
          <w:color w:val="1F3864"/>
          <w:sz w:val="30"/>
          <w:szCs w:val="30"/>
        </w:rPr>
        <w:t xml:space="preserve">9. Les autres diagrammes UML</w:t>
      </w:r>
    </w:p>
    <w:p>
      <w:pPr>
        <w:pStyle w:val="Heading3"/>
        <w:spacing w:after="100" w:before="200"/>
      </w:pPr>
      <w:r>
        <w:rPr>
          <w:b/>
          <w:bCs/>
          <w:i/>
          <w:iCs/>
          <w:color w:val="404040"/>
          <w:sz w:val="22"/>
          <w:szCs w:val="22"/>
        </w:rPr>
        <w:t xml:space="preserve">9.1 Diagramme de paquetages (packages)</w:t>
      </w:r>
    </w:p>
    <w:p>
      <w:pPr>
        <w:spacing w:after="160" w:line="276"/>
        <w:jc w:val="left"/>
      </w:pPr>
      <w:r>
        <w:rPr>
          <w:sz w:val="22"/>
          <w:szCs w:val="22"/>
        </w:rPr>
        <w:t xml:space="preserve">Représente les différents modules (paquetages) de l'application et les dépendances entre eux — utile pour organiser le futur code de l'application Web/Mobile (par exemple : module Authentification, module Notes, module Bulletins).</w:t>
      </w:r>
    </w:p>
    <w:p>
      <w:pPr>
        <w:pStyle w:val="Heading3"/>
        <w:spacing w:after="100" w:before="200"/>
      </w:pPr>
      <w:r>
        <w:rPr>
          <w:b/>
          <w:bCs/>
          <w:i/>
          <w:iCs/>
          <w:color w:val="404040"/>
          <w:sz w:val="22"/>
          <w:szCs w:val="22"/>
        </w:rPr>
        <w:t xml:space="preserve">9.2 Diagramme d'activités</w:t>
      </w:r>
    </w:p>
    <w:p>
      <w:pPr>
        <w:spacing w:after="160" w:line="276"/>
        <w:jc w:val="left"/>
      </w:pPr>
      <w:r>
        <w:rPr>
          <w:sz w:val="22"/>
          <w:szCs w:val="22"/>
        </w:rPr>
        <w:t xml:space="preserve">Représente les règles d'enchaînement des activités par rapport aux différents acteurs, avec des embranchements conditionnels et des synchronisations (barres noires). Il conviendrait bien pour détailler le circuit complet de publication des notes du projet, acteur par acteur (Enseignant / Agent / Étudiant).</w:t>
      </w:r>
    </w:p>
    <w:p>
      <w:pPr>
        <w:pStyle w:val="Heading3"/>
        <w:spacing w:after="100" w:before="200"/>
      </w:pPr>
      <w:r>
        <w:rPr>
          <w:b/>
          <w:bCs/>
          <w:i/>
          <w:iCs/>
          <w:color w:val="404040"/>
          <w:sz w:val="22"/>
          <w:szCs w:val="22"/>
        </w:rPr>
        <w:t xml:space="preserve">9.3 Diagramme de communication</w:t>
      </w:r>
    </w:p>
    <w:p>
      <w:pPr>
        <w:spacing w:after="160" w:line="276"/>
        <w:jc w:val="left"/>
      </w:pPr>
      <w:r>
        <w:rPr>
          <w:sz w:val="22"/>
          <w:szCs w:val="22"/>
        </w:rPr>
        <w:t xml:space="preserve">Autre représentation du diagramme de séquence, centrée sur la coopération entre objets plutôt que sur la chronologie stricte.</w:t>
      </w:r>
    </w:p>
    <w:p>
      <w:pPr>
        <w:pStyle w:val="Heading3"/>
        <w:spacing w:after="100" w:before="200"/>
      </w:pPr>
      <w:r>
        <w:rPr>
          <w:b/>
          <w:bCs/>
          <w:i/>
          <w:iCs/>
          <w:color w:val="404040"/>
          <w:sz w:val="22"/>
          <w:szCs w:val="22"/>
        </w:rPr>
        <w:t xml:space="preserve">9.4 Diagramme de déploiement</w:t>
      </w:r>
    </w:p>
    <w:p>
      <w:pPr>
        <w:spacing w:after="160" w:line="276"/>
        <w:jc w:val="left"/>
      </w:pPr>
      <w:r>
        <w:rPr>
          <w:sz w:val="22"/>
          <w:szCs w:val="22"/>
        </w:rPr>
        <w:t xml:space="preserve">Représente l'organisation physique de la distribution des composants logiciels (postes clients, serveurs, bases de données, protocoles). Pertinent pour représenter l'architecture Web/Mobile commune du projet, avec un serveur central et des clients Web et Mobile.</w:t>
      </w:r>
    </w:p>
    <w:p>
      <w:pPr>
        <w:pStyle w:val="Heading3"/>
        <w:spacing w:after="100" w:before="200"/>
      </w:pPr>
      <w:r>
        <w:rPr>
          <w:b/>
          <w:bCs/>
          <w:i/>
          <w:iCs/>
          <w:color w:val="404040"/>
          <w:sz w:val="22"/>
          <w:szCs w:val="22"/>
        </w:rPr>
        <w:t xml:space="preserve">9.5 Diagramme de composants</w:t>
      </w:r>
    </w:p>
    <w:p>
      <w:pPr>
        <w:spacing w:after="160" w:line="276"/>
        <w:jc w:val="left"/>
      </w:pPr>
      <w:r>
        <w:rPr>
          <w:sz w:val="22"/>
          <w:szCs w:val="22"/>
        </w:rPr>
        <w:t xml:space="preserve">Représente l'organisation des ressources au niveau logique (bases de données, fichiers, librairies) dont l'assemblage compose l'application.</w:t>
      </w:r>
    </w:p>
    <w:p>
      <w:pPr>
        <w:pStyle w:val="Heading3"/>
        <w:spacing w:after="100" w:before="200"/>
      </w:pPr>
      <w:r>
        <w:rPr>
          <w:b/>
          <w:bCs/>
          <w:i/>
          <w:iCs/>
          <w:color w:val="404040"/>
          <w:sz w:val="22"/>
          <w:szCs w:val="22"/>
        </w:rPr>
        <w:t xml:space="preserve">9.6 Diagrammes UML 2 spécialisés</w:t>
      </w:r>
    </w:p>
    <w:p>
      <w:pPr>
        <w:pStyle w:val="ListParagraph"/>
        <w:numPr>
          <w:ilvl w:val="0"/>
          <w:numId w:val="2"/>
        </w:numPr>
        <w:spacing w:after="90"/>
      </w:pPr>
      <w:r>
        <w:rPr>
          <w:sz w:val="22"/>
          <w:szCs w:val="22"/>
        </w:rPr>
        <w:t xml:space="preserve">Structure composite : structure interne d'un objet en exécution (ports, connecteurs).</w:t>
      </w:r>
    </w:p>
    <w:p>
      <w:pPr>
        <w:pStyle w:val="ListParagraph"/>
        <w:numPr>
          <w:ilvl w:val="0"/>
          <w:numId w:val="2"/>
        </w:numPr>
        <w:spacing w:after="90"/>
      </w:pPr>
      <w:r>
        <w:rPr>
          <w:sz w:val="22"/>
          <w:szCs w:val="22"/>
        </w:rPr>
        <w:t xml:space="preserve">Vue d'ensemble des interactions : combine diagrammes de séquence et d'activités.</w:t>
      </w:r>
    </w:p>
    <w:p>
      <w:pPr>
        <w:pStyle w:val="ListParagraph"/>
        <w:numPr>
          <w:ilvl w:val="0"/>
          <w:numId w:val="2"/>
        </w:numPr>
        <w:spacing w:after="90"/>
      </w:pPr>
      <w:r>
        <w:rPr>
          <w:sz w:val="22"/>
          <w:szCs w:val="22"/>
        </w:rPr>
        <w:t xml:space="preserve">Diagramme de temps : utile pour les besoins en temps réel, hors du périmètre du projet actuel.</w:t>
      </w:r>
    </w:p>
    <w:p>
      <w:pPr>
        <w:pStyle w:val="Heading1"/>
        <w:pBdr>
          <w:bottom w:val="single" w:color="1F3864" w:sz="6" w:space="4"/>
        </w:pBdr>
        <w:spacing w:after="200" w:before="400"/>
      </w:pPr>
      <w:r>
        <w:rPr>
          <w:b/>
          <w:bCs/>
          <w:color w:val="1F3864"/>
          <w:sz w:val="30"/>
          <w:szCs w:val="30"/>
        </w:rPr>
        <w:t xml:space="preserve">10. Exercices réalisés</w:t>
      </w:r>
    </w:p>
    <w:p>
      <w:pPr>
        <w:spacing w:after="160" w:line="276"/>
        <w:jc w:val="both"/>
      </w:pPr>
      <w:r>
        <w:rPr>
          <w:sz w:val="22"/>
          <w:szCs w:val="22"/>
        </w:rPr>
        <w:t xml:space="preserve">Pour consolider ma compréhension, j'ai traité les exercices proposés dans le support de cours :</w:t>
      </w:r>
    </w:p>
    <w:p>
      <w:pPr>
        <w:pStyle w:val="ListParagraph"/>
        <w:numPr>
          <w:ilvl w:val="0"/>
          <w:numId w:val="2"/>
        </w:numPr>
        <w:spacing w:after="90"/>
      </w:pPr>
      <w:r>
        <w:rPr>
          <w:sz w:val="22"/>
          <w:szCs w:val="22"/>
        </w:rPr>
        <w:t xml:space="preserve">Cas d'utilisation d'un site commercial (sélection de produits, panier, paiement en ligne ou à la livraison), avec relations &lt;&lt;include&gt;&gt; et &lt;&lt;extend&gt;&gt;.</w:t>
      </w:r>
    </w:p>
    <w:p>
      <w:pPr>
        <w:pStyle w:val="ListParagraph"/>
        <w:numPr>
          <w:ilvl w:val="0"/>
          <w:numId w:val="2"/>
        </w:numPr>
        <w:spacing w:after="90"/>
      </w:pPr>
      <w:r>
        <w:rPr>
          <w:sz w:val="22"/>
          <w:szCs w:val="22"/>
        </w:rPr>
        <w:t xml:space="preserve">Diagramme de classes Commune / Secteur / Compteur / Branchement, à partir d'un pseudo-code orienté objet.</w:t>
      </w:r>
    </w:p>
    <w:p>
      <w:pPr>
        <w:pStyle w:val="ListParagraph"/>
        <w:numPr>
          <w:ilvl w:val="0"/>
          <w:numId w:val="2"/>
        </w:numPr>
        <w:spacing w:after="90"/>
      </w:pPr>
      <w:r>
        <w:rPr>
          <w:sz w:val="22"/>
          <w:szCs w:val="22"/>
        </w:rPr>
        <w:t xml:space="preserve">Diagramme d'états d'une intervention technique (À faire → Planifiée → En cours → Interrompue/Terminée → Facturée → Archivée).</w:t>
      </w:r>
    </w:p>
    <w:p>
      <w:pPr>
        <w:pStyle w:val="ListParagraph"/>
        <w:numPr>
          <w:ilvl w:val="0"/>
          <w:numId w:val="2"/>
        </w:numPr>
        <w:spacing w:after="90"/>
      </w:pPr>
      <w:r>
        <w:rPr>
          <w:sz w:val="22"/>
          <w:szCs w:val="22"/>
        </w:rPr>
        <w:t xml:space="preserve">Analyse d'un diagramme de classes médical (Dossier / Prestation / Intervenant / IntervenantExterne) : navigation entre objets, accès aux méthodes héritées, distinction association/composition, lecture des multiplicités.</w:t>
      </w:r>
    </w:p>
    <w:p>
      <w:pPr>
        <w:pStyle w:val="ListParagraph"/>
        <w:numPr>
          <w:ilvl w:val="0"/>
          <w:numId w:val="2"/>
        </w:numPr>
        <w:spacing w:after="90"/>
      </w:pPr>
      <w:r>
        <w:rPr>
          <w:sz w:val="22"/>
          <w:szCs w:val="22"/>
        </w:rPr>
        <w:t xml:space="preserve">Conception complète (classes + cas d'utilisation) d'une application de gestion de factures (Client, Facture, Article, Quantité).</w:t>
      </w:r>
    </w:p>
    <w:p>
      <w:pPr>
        <w:spacing w:after="160" w:line="276"/>
        <w:jc w:val="both"/>
      </w:pPr>
      <w:r>
        <w:rPr>
          <w:sz w:val="22"/>
          <w:szCs w:val="22"/>
        </w:rPr>
        <w:t xml:space="preserve">Ces exercices m'ont permis de bien assimiler la différence entre agrégation et composition, la lecture des multiplicités, et la façon dont un attribut « collection » dans un pseudo-code se traduit par une association à multiplicité « * » dans un diagramme UML — des notions directement réutilisables pour le diagramme de classes du projet.</w:t>
      </w:r>
    </w:p>
    <w:p>
      <w:pPr>
        <w:pStyle w:val="Heading1"/>
        <w:pBdr>
          <w:bottom w:val="single" w:color="1F3864" w:sz="6" w:space="4"/>
        </w:pBdr>
        <w:spacing w:after="200" w:before="400"/>
      </w:pPr>
      <w:r>
        <w:rPr>
          <w:b/>
          <w:bCs/>
          <w:color w:val="1F3864"/>
          <w:sz w:val="30"/>
          <w:szCs w:val="30"/>
        </w:rPr>
        <w:t xml:space="preserve">11. Synthèse et suite du travail</w:t>
      </w:r>
    </w:p>
    <w:p>
      <w:pPr>
        <w:spacing w:after="160" w:line="276"/>
        <w:jc w:val="both"/>
      </w:pPr>
      <w:r>
        <w:rPr>
          <w:sz w:val="22"/>
          <w:szCs w:val="22"/>
        </w:rPr>
        <w:t xml:space="preserve">Ce support de cours m'a permis d'acquérir une vision d'ensemble d'UML et de comprendre en profondeur les cinq diagrammes directement utiles à mon projet : cas d'utilisation, classes, séquence, états et activités. Le diagramme de cas d'utilisation du projet « Gestion des Notes » a déjà été réalisé pour les trois acteurs identifiés (Étudiant, Enseignant, Agent) et sera présenté séparément, réparti sur les quatre itérations (sprints) du planning agile.</w:t>
      </w:r>
    </w:p>
    <w:p>
      <w:pPr>
        <w:spacing w:after="160" w:line="276"/>
        <w:jc w:val="both"/>
      </w:pPr>
      <w:r>
        <w:rPr>
          <w:sz w:val="22"/>
          <w:szCs w:val="22"/>
        </w:rPr>
        <w:t xml:space="preserve">La prochaine étape consiste à exploiter le diagramme de classes pour construire le Modèle Conceptuel de Données (MCD) de la base, en clarifiant au préalable la notion de « salle » évoquée dans les diagrammes de cas d'utilisation mais absente du dictionnaire de données actuel.</w:t>
      </w:r>
    </w:p>
    <w:p>
      <w:pPr>
        <w:pStyle w:val="Heading1"/>
        <w:pBdr>
          <w:bottom w:val="single" w:color="1F3864" w:sz="6" w:space="4"/>
        </w:pBdr>
        <w:spacing w:after="200" w:before="400"/>
      </w:pPr>
      <w:r>
        <w:rPr>
          <w:b/>
          <w:bCs/>
          <w:color w:val="1F3864"/>
          <w:sz w:val="30"/>
          <w:szCs w:val="30"/>
        </w:rPr>
        <w:t xml:space="preserve">Conclusion</w:t>
      </w:r>
    </w:p>
    <w:p>
      <w:pPr>
        <w:spacing w:after="160" w:line="276"/>
        <w:jc w:val="both"/>
      </w:pPr>
      <w:r>
        <w:rPr>
          <w:sz w:val="22"/>
          <w:szCs w:val="22"/>
        </w:rPr>
        <w:t xml:space="preserve">L'apprentissage d'UML m'a fourni un langage commun et rigoureux pour exprimer les besoins (diagramme de cas d'utilisation), structurer les données (diagramme de classes) et décrire les comportements du système (diagrammes d'états et de séquence). Cette base théorique, appliquée concrètement au projet de gestion des notes, me permet d'aborder sereinement les prochaines étapes du stage : la modélisation de la base de données et le développement de la première itération de l'application.</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2026-08-31T00:11:12.207Z</dcterms:created>
  <dcterms:modified xsi:type="dcterms:W3CDTF">2026-08-31T00:11:12.220Z</dcterms:modified>
</cp:coreProperties>
</file>

<file path=docProps/custom.xml><?xml version="1.0" encoding="utf-8"?>
<Properties xmlns="http://schemas.openxmlformats.org/officeDocument/2006/custom-properties" xmlns:vt="http://schemas.openxmlformats.org/officeDocument/2006/docPropsVTypes"/>
</file>